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975464C" w14:textId="77777777" w:rsidR="00BF4644" w:rsidRDefault="00BF4644">
      <w:pPr>
        <w:pStyle w:val="Title"/>
        <w:pBdr>
          <w:top w:val="nil"/>
          <w:left w:val="nil"/>
          <w:bottom w:val="nil"/>
          <w:right w:val="nil"/>
          <w:between w:val="nil"/>
        </w:pBdr>
        <w:jc w:val="center"/>
        <w:rPr>
          <w:b/>
          <w:color w:val="0000FF"/>
        </w:rPr>
      </w:pPr>
      <w:bookmarkStart w:id="0" w:name="_b1y0q5med62k" w:colFirst="0" w:colLast="0"/>
      <w:bookmarkEnd w:id="0"/>
    </w:p>
    <w:p w14:paraId="21EE6AC7" w14:textId="3E0BED17" w:rsidR="00BF4644" w:rsidRDefault="00BF4644" w:rsidP="00BF4644">
      <w:pPr>
        <w:jc w:val="center"/>
      </w:pPr>
      <w:proofErr w:type="spellStart"/>
      <w:r>
        <w:t>Dr.</w:t>
      </w:r>
      <w:proofErr w:type="spellEnd"/>
      <w:r>
        <w:t xml:space="preserve"> </w:t>
      </w:r>
      <w:r>
        <w:t xml:space="preserve">George </w:t>
      </w:r>
      <w:proofErr w:type="spellStart"/>
      <w:r>
        <w:t>Antal</w:t>
      </w:r>
      <w:proofErr w:type="spellEnd"/>
    </w:p>
    <w:p w14:paraId="52831627" w14:textId="77777777" w:rsidR="00BF4644" w:rsidRDefault="00BF4644" w:rsidP="00BF4644">
      <w:pPr>
        <w:jc w:val="center"/>
      </w:pPr>
      <w:r>
        <w:t>3D Click Limited</w:t>
      </w:r>
    </w:p>
    <w:p w14:paraId="075D50B9" w14:textId="012F7062" w:rsidR="00BF4644" w:rsidRDefault="00BF4644" w:rsidP="00BF4644">
      <w:pPr>
        <w:jc w:val="center"/>
      </w:pPr>
      <w:r>
        <w:t>c/o Suite 431, 28 Old Brompton Road, London SW7 3SS</w:t>
      </w:r>
    </w:p>
    <w:p w14:paraId="13F70080" w14:textId="77777777" w:rsidR="00BF4644" w:rsidRPr="00BF4644" w:rsidRDefault="00BF4644" w:rsidP="00BF4644"/>
    <w:p w14:paraId="2A93B56F" w14:textId="3316A8FA" w:rsidR="00BE6986" w:rsidRDefault="0047414E">
      <w:pPr>
        <w:pStyle w:val="Title"/>
        <w:pBdr>
          <w:top w:val="nil"/>
          <w:left w:val="nil"/>
          <w:bottom w:val="nil"/>
          <w:right w:val="nil"/>
          <w:between w:val="nil"/>
        </w:pBdr>
        <w:jc w:val="center"/>
        <w:rPr>
          <w:b/>
          <w:color w:val="0000FF"/>
        </w:rPr>
      </w:pPr>
      <w:r>
        <w:rPr>
          <w:b/>
          <w:color w:val="0000FF"/>
        </w:rPr>
        <w:t xml:space="preserve">Beta of </w:t>
      </w:r>
      <w:proofErr w:type="spellStart"/>
      <w:r>
        <w:rPr>
          <w:b/>
          <w:color w:val="0000FF"/>
        </w:rPr>
        <w:t>GameChanger</w:t>
      </w:r>
      <w:proofErr w:type="spellEnd"/>
      <w:r>
        <w:rPr>
          <w:b/>
          <w:color w:val="0000FF"/>
        </w:rPr>
        <w:t xml:space="preserve"> Stocks </w:t>
      </w:r>
    </w:p>
    <w:p w14:paraId="7FA43D9C" w14:textId="77777777" w:rsidR="00BE6986" w:rsidRDefault="00BE6986">
      <w:pPr>
        <w:spacing w:after="1200" w:line="271" w:lineRule="auto"/>
      </w:pPr>
    </w:p>
    <w:sdt>
      <w:sdtPr>
        <w:id w:val="-1595005072"/>
        <w:docPartObj>
          <w:docPartGallery w:val="Table of Contents"/>
          <w:docPartUnique/>
        </w:docPartObj>
      </w:sdtPr>
      <w:sdtEndPr/>
      <w:sdtContent>
        <w:p w14:paraId="5ADC8527" w14:textId="77777777" w:rsidR="00BE6986" w:rsidRDefault="0047414E">
          <w:pPr>
            <w:tabs>
              <w:tab w:val="right" w:pos="11106"/>
            </w:tabs>
            <w:spacing w:before="80" w:line="240" w:lineRule="auto"/>
            <w:rPr>
              <w:color w:val="0000FF"/>
            </w:rPr>
          </w:pPr>
          <w:r>
            <w:fldChar w:fldCharType="begin"/>
          </w:r>
          <w:r>
            <w:instrText xml:space="preserve"> TOC \h \u \z </w:instrText>
          </w:r>
          <w:r>
            <w:fldChar w:fldCharType="separate"/>
          </w:r>
          <w:hyperlink w:anchor="_zcl1g84qspix">
            <w:r>
              <w:rPr>
                <w:b/>
                <w:color w:val="0000FF"/>
              </w:rPr>
              <w:t>Motivation</w:t>
            </w:r>
          </w:hyperlink>
          <w:r>
            <w:rPr>
              <w:b/>
              <w:color w:val="0000FF"/>
            </w:rPr>
            <w:tab/>
          </w:r>
          <w:r>
            <w:fldChar w:fldCharType="begin"/>
          </w:r>
          <w:r>
            <w:instrText xml:space="preserve"> PAGEREF _zcl1g84qspix \h </w:instrText>
          </w:r>
          <w:r>
            <w:fldChar w:fldCharType="separate"/>
          </w:r>
          <w:r>
            <w:rPr>
              <w:b/>
              <w:color w:val="0000FF"/>
            </w:rPr>
            <w:t>1</w:t>
          </w:r>
          <w:r>
            <w:fldChar w:fldCharType="end"/>
          </w:r>
        </w:p>
        <w:p w14:paraId="58ED1031" w14:textId="77777777" w:rsidR="00BE6986" w:rsidRDefault="0047414E">
          <w:pPr>
            <w:tabs>
              <w:tab w:val="right" w:pos="11106"/>
            </w:tabs>
            <w:spacing w:before="200" w:line="240" w:lineRule="auto"/>
            <w:rPr>
              <w:b/>
              <w:color w:val="0000FF"/>
            </w:rPr>
          </w:pPr>
          <w:hyperlink w:anchor="_80exymy0d6i3">
            <w:r>
              <w:rPr>
                <w:b/>
                <w:color w:val="0000FF"/>
              </w:rPr>
              <w:t>Background</w:t>
            </w:r>
          </w:hyperlink>
          <w:r>
            <w:rPr>
              <w:b/>
              <w:color w:val="0000FF"/>
            </w:rPr>
            <w:tab/>
          </w:r>
          <w:r>
            <w:fldChar w:fldCharType="begin"/>
          </w:r>
          <w:r>
            <w:instrText xml:space="preserve"> PAGEREF _80exymy0d6i3 \h </w:instrText>
          </w:r>
          <w:r>
            <w:fldChar w:fldCharType="separate"/>
          </w:r>
          <w:r>
            <w:rPr>
              <w:b/>
              <w:color w:val="0000FF"/>
            </w:rPr>
            <w:t>2</w:t>
          </w:r>
          <w:r>
            <w:fldChar w:fldCharType="end"/>
          </w:r>
        </w:p>
        <w:p w14:paraId="19931EA4" w14:textId="77777777" w:rsidR="00BE6986" w:rsidRDefault="0047414E">
          <w:pPr>
            <w:tabs>
              <w:tab w:val="right" w:pos="11106"/>
            </w:tabs>
            <w:spacing w:before="60" w:line="240" w:lineRule="auto"/>
            <w:ind w:left="360"/>
            <w:rPr>
              <w:color w:val="0000FF"/>
            </w:rPr>
          </w:pPr>
          <w:hyperlink w:anchor="_gxn9de1uj48u">
            <w:r>
              <w:rPr>
                <w:color w:val="0000FF"/>
              </w:rPr>
              <w:t>What is Beta?</w:t>
            </w:r>
          </w:hyperlink>
          <w:r>
            <w:rPr>
              <w:color w:val="0000FF"/>
            </w:rPr>
            <w:tab/>
          </w:r>
          <w:r>
            <w:fldChar w:fldCharType="begin"/>
          </w:r>
          <w:r>
            <w:instrText xml:space="preserve"> PAGEREF _gxn9de1uj48u \h </w:instrText>
          </w:r>
          <w:r>
            <w:fldChar w:fldCharType="separate"/>
          </w:r>
          <w:r>
            <w:rPr>
              <w:color w:val="0000FF"/>
            </w:rPr>
            <w:t>2</w:t>
          </w:r>
          <w:r>
            <w:fldChar w:fldCharType="end"/>
          </w:r>
        </w:p>
        <w:p w14:paraId="3C0B3034" w14:textId="77777777" w:rsidR="00BE6986" w:rsidRDefault="0047414E">
          <w:pPr>
            <w:tabs>
              <w:tab w:val="right" w:pos="11106"/>
            </w:tabs>
            <w:spacing w:before="60" w:line="240" w:lineRule="auto"/>
            <w:ind w:left="360"/>
            <w:rPr>
              <w:color w:val="0000FF"/>
            </w:rPr>
          </w:pPr>
          <w:hyperlink w:anchor="_9kiz6jpbgp2p">
            <w:r>
              <w:rPr>
                <w:color w:val="0000FF"/>
              </w:rPr>
              <w:t>What's the relationship between R-squared and beta?</w:t>
            </w:r>
          </w:hyperlink>
          <w:r>
            <w:rPr>
              <w:color w:val="0000FF"/>
            </w:rPr>
            <w:tab/>
          </w:r>
          <w:r>
            <w:fldChar w:fldCharType="begin"/>
          </w:r>
          <w:r>
            <w:instrText xml:space="preserve"> PAGEREF _9kiz6jpbgp2p \h </w:instrText>
          </w:r>
          <w:r>
            <w:fldChar w:fldCharType="separate"/>
          </w:r>
          <w:r>
            <w:rPr>
              <w:color w:val="0000FF"/>
            </w:rPr>
            <w:t>4</w:t>
          </w:r>
          <w:r>
            <w:fldChar w:fldCharType="end"/>
          </w:r>
        </w:p>
        <w:p w14:paraId="1444FE54" w14:textId="77777777" w:rsidR="00BE6986" w:rsidRDefault="0047414E">
          <w:pPr>
            <w:tabs>
              <w:tab w:val="right" w:pos="11106"/>
            </w:tabs>
            <w:spacing w:before="60" w:line="240" w:lineRule="auto"/>
            <w:ind w:left="360"/>
            <w:rPr>
              <w:color w:val="0000FF"/>
            </w:rPr>
          </w:pPr>
          <w:hyperlink w:anchor="_h7xgx45nk6fh">
            <w:r>
              <w:rPr>
                <w:color w:val="0000FF"/>
              </w:rPr>
              <w:t>What is NOT the Beta?</w:t>
            </w:r>
          </w:hyperlink>
          <w:r>
            <w:rPr>
              <w:color w:val="0000FF"/>
            </w:rPr>
            <w:tab/>
          </w:r>
          <w:r>
            <w:fldChar w:fldCharType="begin"/>
          </w:r>
          <w:r>
            <w:instrText xml:space="preserve"> PAGEREF _h7xgx45nk6fh \h </w:instrText>
          </w:r>
          <w:r>
            <w:fldChar w:fldCharType="separate"/>
          </w:r>
          <w:r>
            <w:rPr>
              <w:color w:val="0000FF"/>
            </w:rPr>
            <w:t>5</w:t>
          </w:r>
          <w:r>
            <w:fldChar w:fldCharType="end"/>
          </w:r>
        </w:p>
        <w:p w14:paraId="35DDA246" w14:textId="77777777" w:rsidR="00BE6986" w:rsidRDefault="0047414E">
          <w:pPr>
            <w:tabs>
              <w:tab w:val="right" w:pos="11106"/>
            </w:tabs>
            <w:spacing w:before="60" w:line="240" w:lineRule="auto"/>
            <w:ind w:left="360"/>
            <w:rPr>
              <w:color w:val="0000FF"/>
            </w:rPr>
          </w:pPr>
          <w:hyperlink w:anchor="_cv3af0ogy0st">
            <w:r>
              <w:rPr>
                <w:color w:val="0000FF"/>
              </w:rPr>
              <w:t>Optimal Return Interval and Length of Lookback Period</w:t>
            </w:r>
          </w:hyperlink>
          <w:r>
            <w:rPr>
              <w:color w:val="0000FF"/>
            </w:rPr>
            <w:tab/>
          </w:r>
          <w:r>
            <w:fldChar w:fldCharType="begin"/>
          </w:r>
          <w:r>
            <w:instrText xml:space="preserve"> PAGEREF _cv3af0ogy0st \h </w:instrText>
          </w:r>
          <w:r>
            <w:fldChar w:fldCharType="separate"/>
          </w:r>
          <w:r>
            <w:rPr>
              <w:color w:val="0000FF"/>
            </w:rPr>
            <w:t>6</w:t>
          </w:r>
          <w:r>
            <w:fldChar w:fldCharType="end"/>
          </w:r>
        </w:p>
        <w:p w14:paraId="12A73565" w14:textId="77777777" w:rsidR="00BE6986" w:rsidRDefault="0047414E">
          <w:pPr>
            <w:tabs>
              <w:tab w:val="right" w:pos="11106"/>
            </w:tabs>
            <w:spacing w:before="200" w:line="240" w:lineRule="auto"/>
            <w:rPr>
              <w:b/>
              <w:color w:val="0000FF"/>
            </w:rPr>
          </w:pPr>
          <w:hyperlink w:anchor="_dni33xrtkkxe">
            <w:r>
              <w:rPr>
                <w:b/>
                <w:color w:val="0000FF"/>
              </w:rPr>
              <w:t>Results</w:t>
            </w:r>
          </w:hyperlink>
          <w:r>
            <w:rPr>
              <w:b/>
              <w:color w:val="0000FF"/>
            </w:rPr>
            <w:tab/>
          </w:r>
          <w:r>
            <w:fldChar w:fldCharType="begin"/>
          </w:r>
          <w:r>
            <w:instrText xml:space="preserve"> PAGEREF _dni33xrtkkxe \h </w:instrText>
          </w:r>
          <w:r>
            <w:fldChar w:fldCharType="separate"/>
          </w:r>
          <w:r>
            <w:rPr>
              <w:b/>
              <w:color w:val="0000FF"/>
            </w:rPr>
            <w:t>8</w:t>
          </w:r>
          <w:r>
            <w:fldChar w:fldCharType="end"/>
          </w:r>
        </w:p>
        <w:p w14:paraId="33B80EA0" w14:textId="77777777" w:rsidR="00BE6986" w:rsidRDefault="0047414E">
          <w:pPr>
            <w:tabs>
              <w:tab w:val="right" w:pos="11106"/>
            </w:tabs>
            <w:spacing w:before="60" w:line="240" w:lineRule="auto"/>
            <w:ind w:left="360"/>
            <w:rPr>
              <w:color w:val="0000FF"/>
            </w:rPr>
          </w:pPr>
          <w:hyperlink w:anchor="_yuk6yhomqn00">
            <w:r>
              <w:rPr>
                <w:color w:val="0000FF"/>
              </w:rPr>
              <w:t>Impact of Lookback Period and Return Interval on Estimated Beta</w:t>
            </w:r>
          </w:hyperlink>
          <w:r>
            <w:rPr>
              <w:color w:val="0000FF"/>
            </w:rPr>
            <w:tab/>
          </w:r>
          <w:r>
            <w:fldChar w:fldCharType="begin"/>
          </w:r>
          <w:r>
            <w:instrText xml:space="preserve"> PAGEREF _yuk6yhomqn0</w:instrText>
          </w:r>
          <w:r>
            <w:instrText xml:space="preserve">0 \h </w:instrText>
          </w:r>
          <w:r>
            <w:fldChar w:fldCharType="separate"/>
          </w:r>
          <w:r>
            <w:rPr>
              <w:color w:val="0000FF"/>
            </w:rPr>
            <w:t>8</w:t>
          </w:r>
          <w:r>
            <w:fldChar w:fldCharType="end"/>
          </w:r>
        </w:p>
        <w:p w14:paraId="3715ED09" w14:textId="77777777" w:rsidR="00BE6986" w:rsidRDefault="0047414E">
          <w:pPr>
            <w:tabs>
              <w:tab w:val="right" w:pos="11106"/>
            </w:tabs>
            <w:spacing w:before="60" w:line="240" w:lineRule="auto"/>
            <w:ind w:left="360"/>
            <w:rPr>
              <w:color w:val="0000FF"/>
            </w:rPr>
          </w:pPr>
          <w:hyperlink w:anchor="_uojzfw7b98wc">
            <w:r>
              <w:rPr>
                <w:color w:val="0000FF"/>
              </w:rPr>
              <w:t>Estimating Beta for the Entire GameChanger Portfolio</w:t>
            </w:r>
          </w:hyperlink>
          <w:r>
            <w:rPr>
              <w:color w:val="0000FF"/>
            </w:rPr>
            <w:tab/>
          </w:r>
          <w:r>
            <w:fldChar w:fldCharType="begin"/>
          </w:r>
          <w:r>
            <w:instrText xml:space="preserve"> PAGEREF _uojzfw7b98wc \h </w:instrText>
          </w:r>
          <w:r>
            <w:fldChar w:fldCharType="separate"/>
          </w:r>
          <w:r>
            <w:rPr>
              <w:color w:val="0000FF"/>
            </w:rPr>
            <w:t>22</w:t>
          </w:r>
          <w:r>
            <w:fldChar w:fldCharType="end"/>
          </w:r>
        </w:p>
        <w:p w14:paraId="5F335519" w14:textId="77777777" w:rsidR="00BE6986" w:rsidRDefault="0047414E">
          <w:pPr>
            <w:tabs>
              <w:tab w:val="right" w:pos="11106"/>
            </w:tabs>
            <w:spacing w:before="60" w:line="240" w:lineRule="auto"/>
            <w:ind w:left="360"/>
            <w:rPr>
              <w:color w:val="0000FF"/>
            </w:rPr>
          </w:pPr>
          <w:hyperlink w:anchor="_kv7ihzf58nm1">
            <w:r>
              <w:rPr>
                <w:color w:val="0000FF"/>
              </w:rPr>
              <w:t>Monte-Carlo Analysis to Select the Optimal Daily Beta ‘Monthly-izing’ Multiplicator</w:t>
            </w:r>
          </w:hyperlink>
          <w:r>
            <w:rPr>
              <w:color w:val="0000FF"/>
            </w:rPr>
            <w:tab/>
          </w:r>
          <w:r>
            <w:fldChar w:fldCharType="begin"/>
          </w:r>
          <w:r>
            <w:instrText xml:space="preserve"> PAGEREF _kv7ihzf58nm1 \h </w:instrText>
          </w:r>
          <w:r>
            <w:fldChar w:fldCharType="separate"/>
          </w:r>
          <w:r>
            <w:rPr>
              <w:color w:val="0000FF"/>
            </w:rPr>
            <w:t>28</w:t>
          </w:r>
          <w:r>
            <w:fldChar w:fldCharType="end"/>
          </w:r>
        </w:p>
        <w:p w14:paraId="4F549053" w14:textId="77777777" w:rsidR="00BE6986" w:rsidRDefault="0047414E">
          <w:pPr>
            <w:tabs>
              <w:tab w:val="right" w:pos="11106"/>
            </w:tabs>
            <w:spacing w:before="60" w:line="240" w:lineRule="auto"/>
            <w:ind w:left="360"/>
            <w:rPr>
              <w:color w:val="0000FF"/>
            </w:rPr>
          </w:pPr>
          <w:hyperlink w:anchor="_6hj7hujq7hgi">
            <w:r>
              <w:rPr>
                <w:color w:val="0000FF"/>
              </w:rPr>
              <w:t>Optimal Beta for Individual GameChanger Stocks?</w:t>
            </w:r>
          </w:hyperlink>
          <w:r>
            <w:rPr>
              <w:color w:val="0000FF"/>
            </w:rPr>
            <w:tab/>
          </w:r>
          <w:r>
            <w:fldChar w:fldCharType="begin"/>
          </w:r>
          <w:r>
            <w:instrText xml:space="preserve"> PAGEREF _6hj7hujq7hgi \h </w:instrText>
          </w:r>
          <w:r>
            <w:fldChar w:fldCharType="separate"/>
          </w:r>
          <w:r>
            <w:rPr>
              <w:color w:val="0000FF"/>
            </w:rPr>
            <w:t>36</w:t>
          </w:r>
          <w:r>
            <w:fldChar w:fldCharType="end"/>
          </w:r>
        </w:p>
        <w:p w14:paraId="7A319DBC" w14:textId="77777777" w:rsidR="00BE6986" w:rsidRDefault="0047414E">
          <w:pPr>
            <w:tabs>
              <w:tab w:val="right" w:pos="11106"/>
            </w:tabs>
            <w:spacing w:before="200" w:after="80" w:line="240" w:lineRule="auto"/>
            <w:rPr>
              <w:b/>
              <w:color w:val="0000FF"/>
            </w:rPr>
          </w:pPr>
          <w:hyperlink w:anchor="_l07s06b5622k">
            <w:r>
              <w:rPr>
                <w:b/>
                <w:color w:val="0000FF"/>
              </w:rPr>
              <w:t>Conclusions</w:t>
            </w:r>
          </w:hyperlink>
          <w:r>
            <w:rPr>
              <w:b/>
              <w:color w:val="0000FF"/>
            </w:rPr>
            <w:tab/>
          </w:r>
          <w:r>
            <w:fldChar w:fldCharType="begin"/>
          </w:r>
          <w:r>
            <w:instrText xml:space="preserve"> PAGEREF _l07s06b5622k \h </w:instrText>
          </w:r>
          <w:r>
            <w:fldChar w:fldCharType="separate"/>
          </w:r>
          <w:r>
            <w:rPr>
              <w:b/>
              <w:color w:val="0000FF"/>
            </w:rPr>
            <w:t>40</w:t>
          </w:r>
          <w:r>
            <w:fldChar w:fldCharType="end"/>
          </w:r>
          <w:r>
            <w:fldChar w:fldCharType="end"/>
          </w:r>
        </w:p>
      </w:sdtContent>
    </w:sdt>
    <w:p w14:paraId="5C7D307A" w14:textId="77777777" w:rsidR="00BE6986" w:rsidRDefault="0047414E">
      <w:pPr>
        <w:pStyle w:val="Heading1"/>
        <w:pBdr>
          <w:top w:val="nil"/>
          <w:left w:val="nil"/>
          <w:bottom w:val="nil"/>
          <w:right w:val="nil"/>
          <w:between w:val="nil"/>
        </w:pBdr>
        <w:spacing w:before="600" w:line="268" w:lineRule="auto"/>
        <w:rPr>
          <w:color w:val="38761D"/>
        </w:rPr>
      </w:pPr>
      <w:bookmarkStart w:id="1" w:name="_zcl1g84qspix" w:colFirst="0" w:colLast="0"/>
      <w:bookmarkEnd w:id="1"/>
      <w:r>
        <w:rPr>
          <w:color w:val="38761D"/>
        </w:rPr>
        <w:t>Motivation</w:t>
      </w:r>
    </w:p>
    <w:p w14:paraId="49B9A9D6" w14:textId="77777777" w:rsidR="00BE6986" w:rsidRDefault="00BE6986">
      <w:pPr>
        <w:pBdr>
          <w:top w:val="nil"/>
          <w:left w:val="nil"/>
          <w:bottom w:val="nil"/>
          <w:right w:val="nil"/>
          <w:between w:val="nil"/>
        </w:pBdr>
        <w:jc w:val="both"/>
      </w:pPr>
    </w:p>
    <w:p w14:paraId="72B557B2" w14:textId="77777777" w:rsidR="00BE6986" w:rsidRDefault="0047414E">
      <w:pPr>
        <w:pBdr>
          <w:top w:val="nil"/>
          <w:left w:val="nil"/>
          <w:bottom w:val="nil"/>
          <w:right w:val="nil"/>
          <w:between w:val="nil"/>
        </w:pBdr>
        <w:jc w:val="both"/>
        <w:rPr>
          <w:b/>
        </w:rPr>
      </w:pPr>
      <w:r>
        <w:t xml:space="preserve">A significant part of our total </w:t>
      </w:r>
      <w:proofErr w:type="gramStart"/>
      <w:r>
        <w:t>real life</w:t>
      </w:r>
      <w:proofErr w:type="gramEnd"/>
      <w:r>
        <w:t xml:space="preserve"> portfolio consists of </w:t>
      </w:r>
      <w:proofErr w:type="spellStart"/>
      <w:r>
        <w:rPr>
          <w:b/>
        </w:rPr>
        <w:t>GameChanger</w:t>
      </w:r>
      <w:proofErr w:type="spellEnd"/>
      <w:r>
        <w:rPr>
          <w:b/>
        </w:rPr>
        <w:t xml:space="preserve"> stocks</w:t>
      </w:r>
      <w:r>
        <w:rPr>
          <w:b/>
          <w:vertAlign w:val="superscript"/>
        </w:rPr>
        <w:footnoteReference w:id="1"/>
      </w:r>
      <w:r>
        <w:t xml:space="preserve">. Recently, this is </w:t>
      </w:r>
      <w:r>
        <w:rPr>
          <w:b/>
        </w:rPr>
        <w:t>very profitable</w:t>
      </w:r>
      <w:r>
        <w:t xml:space="preserve"> but </w:t>
      </w:r>
      <w:r>
        <w:rPr>
          <w:b/>
        </w:rPr>
        <w:t>could very easily turn into huge losses</w:t>
      </w:r>
      <w:r>
        <w:t xml:space="preserve">, for example during a </w:t>
      </w:r>
      <w:r>
        <w:rPr>
          <w:b/>
        </w:rPr>
        <w:t>market panic</w:t>
      </w:r>
      <w:r>
        <w:t xml:space="preserve"> or when the long-awaited </w:t>
      </w:r>
      <w:r>
        <w:rPr>
          <w:b/>
        </w:rPr>
        <w:t>bears finally arrive</w:t>
      </w:r>
      <w:r>
        <w:t xml:space="preserve">. As a </w:t>
      </w:r>
      <w:r>
        <w:rPr>
          <w:b/>
        </w:rPr>
        <w:t>risk-averse investor</w:t>
      </w:r>
      <w:r>
        <w:t xml:space="preserve">, someone would want to </w:t>
      </w:r>
      <w:r>
        <w:rPr>
          <w:b/>
        </w:rPr>
        <w:t>reduce the risk</w:t>
      </w:r>
      <w:r>
        <w:t xml:space="preserve"> of this sub-portfolio with some kind of </w:t>
      </w:r>
      <w:r>
        <w:rPr>
          <w:b/>
        </w:rPr>
        <w:t>protection without limiting or significantly reducing expected profit</w:t>
      </w:r>
      <w:r>
        <w:t xml:space="preserve">. It is well known that </w:t>
      </w:r>
      <w:r>
        <w:rPr>
          <w:b/>
        </w:rPr>
        <w:t>every insurance has a price</w:t>
      </w:r>
      <w:r>
        <w:t xml:space="preserve">, but it is not all the same </w:t>
      </w:r>
      <w:r>
        <w:t xml:space="preserve">that this cost is 10% or even 50% of the profit. Common practice among investors is the use of </w:t>
      </w:r>
      <w:r>
        <w:rPr>
          <w:b/>
        </w:rPr>
        <w:t>stop-losses or hedging with a related security</w:t>
      </w:r>
      <w:r>
        <w:t xml:space="preserve">. As our </w:t>
      </w:r>
      <w:proofErr w:type="spellStart"/>
      <w:r>
        <w:t>GameChanger</w:t>
      </w:r>
      <w:proofErr w:type="spellEnd"/>
      <w:r>
        <w:t xml:space="preserve"> portfolio contains </w:t>
      </w:r>
      <w:r>
        <w:rPr>
          <w:b/>
        </w:rPr>
        <w:t>13 technology companies</w:t>
      </w:r>
      <w:r>
        <w:t>, constantly setting stop-loss limits or buying stoc</w:t>
      </w:r>
      <w:r>
        <w:t>k specific put options would be very time consuming. Instead, someone may want to</w:t>
      </w:r>
      <w:r>
        <w:rPr>
          <w:b/>
        </w:rPr>
        <w:t xml:space="preserve"> treat them together</w:t>
      </w:r>
      <w:r>
        <w:t xml:space="preserve">, and since almost each of these companies is a member of the </w:t>
      </w:r>
      <w:r>
        <w:rPr>
          <w:b/>
        </w:rPr>
        <w:t>Nasdaq 100</w:t>
      </w:r>
      <w:r>
        <w:t xml:space="preserve">, they could be hedged together with </w:t>
      </w:r>
      <w:r>
        <w:rPr>
          <w:b/>
        </w:rPr>
        <w:t>QQQ put options</w:t>
      </w:r>
      <w:r>
        <w:t>. In one of our previous studie</w:t>
      </w:r>
      <w:r>
        <w:t>s (</w:t>
      </w:r>
      <w:r>
        <w:rPr>
          <w:i/>
        </w:rPr>
        <w:t>‘</w:t>
      </w:r>
      <w:hyperlink r:id="rId7">
        <w:r>
          <w:rPr>
            <w:b/>
            <w:i/>
            <w:color w:val="1155CC"/>
            <w:u w:val="single"/>
          </w:rPr>
          <w:t>QQQ Put Option Insurance Strategy</w:t>
        </w:r>
      </w:hyperlink>
      <w:r>
        <w:rPr>
          <w:i/>
        </w:rPr>
        <w:t>’</w:t>
      </w:r>
      <w:r>
        <w:t xml:space="preserve">), it has been concluded that the </w:t>
      </w:r>
      <w:r>
        <w:rPr>
          <w:b/>
          <w:i/>
        </w:rPr>
        <w:t xml:space="preserve">‘QQQ Put Option Insurance Strategy’ </w:t>
      </w:r>
      <w:r>
        <w:rPr>
          <w:b/>
        </w:rPr>
        <w:t>could be very profitable using l</w:t>
      </w:r>
      <w:r>
        <w:rPr>
          <w:b/>
        </w:rPr>
        <w:t>ong QQQ</w:t>
      </w:r>
      <w:r>
        <w:t xml:space="preserve"> (as a proxy of </w:t>
      </w:r>
      <w:proofErr w:type="spellStart"/>
      <w:r>
        <w:t>GameChanger</w:t>
      </w:r>
      <w:proofErr w:type="spellEnd"/>
      <w:r>
        <w:t xml:space="preserve"> portfolio) stock and </w:t>
      </w:r>
      <w:r>
        <w:rPr>
          <w:b/>
        </w:rPr>
        <w:t>long ATM QQQ put options with monthly rebalancing 1-month maturity options</w:t>
      </w:r>
      <w:r>
        <w:t xml:space="preserve">. But it is not exactly the same as we would like playing in real life, as our goal is protecting our </w:t>
      </w:r>
      <w:proofErr w:type="spellStart"/>
      <w:r>
        <w:t>GameChanger</w:t>
      </w:r>
      <w:proofErr w:type="spellEnd"/>
      <w:r>
        <w:t xml:space="preserve"> stocks with </w:t>
      </w:r>
      <w:r>
        <w:t xml:space="preserve">this kind of QQQ put option strategy instead of the QQQ ETF. And these stocks have </w:t>
      </w:r>
      <w:r>
        <w:rPr>
          <w:b/>
        </w:rPr>
        <w:t xml:space="preserve">some kind of betas compared to the QQQ, thus our </w:t>
      </w:r>
      <w:proofErr w:type="spellStart"/>
      <w:r>
        <w:rPr>
          <w:b/>
        </w:rPr>
        <w:t>GameChanger</w:t>
      </w:r>
      <w:proofErr w:type="spellEnd"/>
      <w:r>
        <w:rPr>
          <w:b/>
        </w:rPr>
        <w:t xml:space="preserve"> portfolio could be hedged with different amounts of QQQ put options from time to time.</w:t>
      </w:r>
    </w:p>
    <w:p w14:paraId="31F24984" w14:textId="77777777" w:rsidR="00BE6986" w:rsidRDefault="0047414E">
      <w:pPr>
        <w:pBdr>
          <w:top w:val="nil"/>
          <w:left w:val="nil"/>
          <w:bottom w:val="nil"/>
          <w:right w:val="nil"/>
          <w:between w:val="nil"/>
        </w:pBdr>
        <w:jc w:val="both"/>
        <w:rPr>
          <w:b/>
        </w:rPr>
      </w:pPr>
      <w:r>
        <w:lastRenderedPageBreak/>
        <w:t>In this study, our main g</w:t>
      </w:r>
      <w:r>
        <w:t xml:space="preserve">oal is to </w:t>
      </w:r>
      <w:r>
        <w:rPr>
          <w:b/>
        </w:rPr>
        <w:t>determine how this beta</w:t>
      </w:r>
      <w:r>
        <w:t xml:space="preserve"> (and thus the required number of QQQ put options) </w:t>
      </w:r>
      <w:r>
        <w:rPr>
          <w:b/>
        </w:rPr>
        <w:t>should be calculated.</w:t>
      </w:r>
    </w:p>
    <w:p w14:paraId="36FB1E8D" w14:textId="77777777" w:rsidR="00BE6986" w:rsidRDefault="00BE6986">
      <w:pPr>
        <w:pBdr>
          <w:top w:val="nil"/>
          <w:left w:val="nil"/>
          <w:bottom w:val="nil"/>
          <w:right w:val="nil"/>
          <w:between w:val="nil"/>
        </w:pBdr>
        <w:jc w:val="both"/>
        <w:rPr>
          <w:b/>
        </w:rPr>
      </w:pPr>
    </w:p>
    <w:p w14:paraId="5ACFD9A4" w14:textId="77777777" w:rsidR="00BE6986" w:rsidRDefault="0047414E">
      <w:pPr>
        <w:pBdr>
          <w:top w:val="nil"/>
          <w:left w:val="nil"/>
          <w:bottom w:val="nil"/>
          <w:right w:val="nil"/>
          <w:between w:val="nil"/>
        </w:pBdr>
        <w:jc w:val="both"/>
      </w:pPr>
      <w:r>
        <w:t>Adjusted daily, weekly and monthly close prices were used from 2004-01-01 to 2018-12-31.</w:t>
      </w:r>
    </w:p>
    <w:p w14:paraId="72DD6149" w14:textId="77777777" w:rsidR="00BE6986" w:rsidRDefault="0047414E">
      <w:pPr>
        <w:pStyle w:val="Heading1"/>
        <w:spacing w:before="0" w:line="271" w:lineRule="auto"/>
        <w:rPr>
          <w:color w:val="38761D"/>
        </w:rPr>
      </w:pPr>
      <w:bookmarkStart w:id="2" w:name="_80exymy0d6i3" w:colFirst="0" w:colLast="0"/>
      <w:bookmarkEnd w:id="2"/>
      <w:r>
        <w:rPr>
          <w:color w:val="38761D"/>
        </w:rPr>
        <w:t>Background</w:t>
      </w:r>
    </w:p>
    <w:p w14:paraId="31EA1F43" w14:textId="77777777" w:rsidR="00BE6986" w:rsidRDefault="00BE6986">
      <w:pPr>
        <w:jc w:val="both"/>
      </w:pPr>
    </w:p>
    <w:p w14:paraId="7DBE1CFC" w14:textId="77777777" w:rsidR="00BE6986" w:rsidRDefault="0047414E">
      <w:pPr>
        <w:pStyle w:val="Heading2"/>
        <w:jc w:val="both"/>
        <w:rPr>
          <w:rFonts w:ascii="Arial" w:eastAsia="Arial" w:hAnsi="Arial" w:cs="Arial"/>
          <w:color w:val="FF0000"/>
          <w:sz w:val="28"/>
          <w:szCs w:val="28"/>
        </w:rPr>
      </w:pPr>
      <w:bookmarkStart w:id="3" w:name="_gxn9de1uj48u" w:colFirst="0" w:colLast="0"/>
      <w:bookmarkEnd w:id="3"/>
      <w:r>
        <w:rPr>
          <w:rFonts w:ascii="Arial" w:eastAsia="Arial" w:hAnsi="Arial" w:cs="Arial"/>
          <w:color w:val="FF0000"/>
          <w:sz w:val="28"/>
          <w:szCs w:val="28"/>
        </w:rPr>
        <w:t>What is Beta?</w:t>
      </w:r>
      <w:r>
        <w:rPr>
          <w:rFonts w:ascii="Arial" w:eastAsia="Arial" w:hAnsi="Arial" w:cs="Arial"/>
          <w:color w:val="FF0000"/>
          <w:sz w:val="28"/>
          <w:szCs w:val="28"/>
          <w:vertAlign w:val="superscript"/>
        </w:rPr>
        <w:footnoteReference w:id="2"/>
      </w:r>
    </w:p>
    <w:p w14:paraId="016AF2FA" w14:textId="77777777" w:rsidR="00BE6986" w:rsidRDefault="00BE6986">
      <w:pPr>
        <w:pBdr>
          <w:top w:val="nil"/>
          <w:left w:val="nil"/>
          <w:bottom w:val="nil"/>
          <w:right w:val="nil"/>
          <w:between w:val="nil"/>
        </w:pBdr>
        <w:jc w:val="both"/>
      </w:pPr>
    </w:p>
    <w:p w14:paraId="7EF80502" w14:textId="77777777" w:rsidR="00BE6986" w:rsidRDefault="0047414E">
      <w:pPr>
        <w:pBdr>
          <w:top w:val="nil"/>
          <w:left w:val="nil"/>
          <w:bottom w:val="nil"/>
          <w:right w:val="nil"/>
          <w:between w:val="nil"/>
        </w:pBdr>
        <w:jc w:val="both"/>
        <w:rPr>
          <w:i/>
          <w:color w:val="38761D"/>
          <w:sz w:val="24"/>
          <w:szCs w:val="24"/>
        </w:rPr>
      </w:pPr>
      <w:r>
        <w:rPr>
          <w:i/>
          <w:color w:val="0000FF"/>
        </w:rPr>
        <w:t>“</w:t>
      </w:r>
      <w:r>
        <w:rPr>
          <w:i/>
          <w:color w:val="38761D"/>
          <w:sz w:val="24"/>
          <w:szCs w:val="24"/>
        </w:rPr>
        <w:t>What is Beta?</w:t>
      </w:r>
    </w:p>
    <w:p w14:paraId="0BE513AB" w14:textId="77777777" w:rsidR="00BE6986" w:rsidRDefault="0047414E">
      <w:pPr>
        <w:pBdr>
          <w:top w:val="nil"/>
          <w:left w:val="nil"/>
          <w:bottom w:val="nil"/>
          <w:right w:val="nil"/>
          <w:between w:val="nil"/>
        </w:pBdr>
        <w:jc w:val="both"/>
        <w:rPr>
          <w:color w:val="38761D"/>
        </w:rPr>
      </w:pPr>
      <w:r>
        <w:rPr>
          <w:i/>
          <w:color w:val="0000FF"/>
        </w:rPr>
        <w:br/>
      </w:r>
      <w:r>
        <w:rPr>
          <w:i/>
          <w:color w:val="0000FF"/>
        </w:rPr>
        <w:t xml:space="preserve">Beta is a measure of the </w:t>
      </w:r>
      <w:r>
        <w:rPr>
          <w:b/>
          <w:i/>
          <w:color w:val="0000FF"/>
        </w:rPr>
        <w:t>volatility, or systematic risk</w:t>
      </w:r>
      <w:r>
        <w:rPr>
          <w:i/>
          <w:color w:val="0000FF"/>
        </w:rPr>
        <w:t>, of a security or a portfolio in comparison to the entire market or a benchmark. Beta is used in the capital asset pricing model (CAPM), which calculates the expected return of an asset based on its b</w:t>
      </w:r>
      <w:r>
        <w:rPr>
          <w:i/>
          <w:color w:val="0000FF"/>
        </w:rPr>
        <w:t>eta and expected market returns. Beta is also known as the beta coefficient.</w:t>
      </w:r>
    </w:p>
    <w:p w14:paraId="6E304263" w14:textId="77777777" w:rsidR="00BE6986" w:rsidRDefault="00BE6986">
      <w:pPr>
        <w:jc w:val="both"/>
        <w:rPr>
          <w:i/>
          <w:color w:val="38761D"/>
          <w:sz w:val="24"/>
          <w:szCs w:val="24"/>
        </w:rPr>
      </w:pPr>
    </w:p>
    <w:p w14:paraId="4C6FC3CE" w14:textId="77777777" w:rsidR="00BE6986" w:rsidRDefault="0047414E">
      <w:pPr>
        <w:jc w:val="both"/>
        <w:rPr>
          <w:i/>
          <w:color w:val="38761D"/>
          <w:sz w:val="24"/>
          <w:szCs w:val="24"/>
        </w:rPr>
      </w:pPr>
      <w:r>
        <w:rPr>
          <w:i/>
          <w:color w:val="38761D"/>
          <w:sz w:val="24"/>
          <w:szCs w:val="24"/>
        </w:rPr>
        <w:t>Calculating Beta</w:t>
      </w:r>
    </w:p>
    <w:p w14:paraId="76B788C7" w14:textId="77777777" w:rsidR="00BE6986" w:rsidRDefault="0047414E">
      <w:pPr>
        <w:jc w:val="both"/>
        <w:rPr>
          <w:i/>
          <w:color w:val="0000FF"/>
        </w:rPr>
      </w:pPr>
      <w:r>
        <w:rPr>
          <w:i/>
          <w:color w:val="0000FF"/>
        </w:rPr>
        <w:br/>
      </w:r>
      <w:r>
        <w:rPr>
          <w:i/>
          <w:color w:val="0000FF"/>
        </w:rPr>
        <w:t>Beta reflects the tendency of a security's returns to respond to swings in the market. A security's beta is calculated by dividing the product of the covariance of the security's returns and the benchmark's returns by the product of the variance of the ben</w:t>
      </w:r>
      <w:r>
        <w:rPr>
          <w:i/>
          <w:color w:val="0000FF"/>
        </w:rPr>
        <w:t>chmark's returns over a specified period. The most common formula for beta is as follows:</w:t>
      </w:r>
    </w:p>
    <w:p w14:paraId="7A073D6A" w14:textId="77777777" w:rsidR="00BE6986" w:rsidRDefault="0047414E">
      <w:pPr>
        <w:jc w:val="center"/>
        <w:rPr>
          <w:i/>
          <w:color w:val="0000FF"/>
        </w:rPr>
      </w:pPr>
      <w:r>
        <w:rPr>
          <w:i/>
          <w:noProof/>
          <w:color w:val="0000FF"/>
        </w:rPr>
        <w:drawing>
          <wp:inline distT="114300" distB="114300" distL="114300" distR="114300" wp14:anchorId="3F3F4A01" wp14:editId="7A06D516">
            <wp:extent cx="2324100" cy="685800"/>
            <wp:effectExtent l="0" t="0" r="0" b="0"/>
            <wp:docPr id="44"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8"/>
                    <a:srcRect/>
                    <a:stretch>
                      <a:fillRect/>
                    </a:stretch>
                  </pic:blipFill>
                  <pic:spPr>
                    <a:xfrm>
                      <a:off x="0" y="0"/>
                      <a:ext cx="2324100" cy="685800"/>
                    </a:xfrm>
                    <a:prstGeom prst="rect">
                      <a:avLst/>
                    </a:prstGeom>
                    <a:ln/>
                  </pic:spPr>
                </pic:pic>
              </a:graphicData>
            </a:graphic>
          </wp:inline>
        </w:drawing>
      </w:r>
      <w:r>
        <w:rPr>
          <w:i/>
          <w:color w:val="0000FF"/>
        </w:rPr>
        <w:t xml:space="preserve"> </w:t>
      </w:r>
    </w:p>
    <w:p w14:paraId="02CC06EB" w14:textId="77777777" w:rsidR="00BE6986" w:rsidRDefault="0047414E">
      <w:pPr>
        <w:jc w:val="both"/>
        <w:rPr>
          <w:i/>
          <w:color w:val="0000FF"/>
        </w:rPr>
      </w:pPr>
      <w:proofErr w:type="spellStart"/>
      <w:proofErr w:type="gramStart"/>
      <w:r>
        <w:rPr>
          <w:i/>
          <w:color w:val="0000FF"/>
        </w:rPr>
        <w:t>Cov</w:t>
      </w:r>
      <w:proofErr w:type="spellEnd"/>
      <w:r>
        <w:rPr>
          <w:i/>
          <w:color w:val="0000FF"/>
        </w:rPr>
        <w:t>(</w:t>
      </w:r>
      <w:proofErr w:type="spellStart"/>
      <w:proofErr w:type="gramEnd"/>
      <w:r>
        <w:rPr>
          <w:i/>
          <w:color w:val="0000FF"/>
        </w:rPr>
        <w:t>R</w:t>
      </w:r>
      <w:r>
        <w:rPr>
          <w:i/>
          <w:color w:val="0000FF"/>
          <w:vertAlign w:val="subscript"/>
        </w:rPr>
        <w:t>a</w:t>
      </w:r>
      <w:r>
        <w:rPr>
          <w:i/>
          <w:color w:val="0000FF"/>
        </w:rPr>
        <w:t>R</w:t>
      </w:r>
      <w:r>
        <w:rPr>
          <w:i/>
          <w:color w:val="0000FF"/>
          <w:vertAlign w:val="subscript"/>
        </w:rPr>
        <w:t>b</w:t>
      </w:r>
      <w:proofErr w:type="spellEnd"/>
      <w:r>
        <w:rPr>
          <w:i/>
          <w:color w:val="0000FF"/>
        </w:rPr>
        <w:t>): Covariance of asset and market</w:t>
      </w:r>
      <w:r>
        <w:rPr>
          <w:i/>
          <w:color w:val="0000FF"/>
        </w:rPr>
        <w:br/>
        <w:t>Var(</w:t>
      </w:r>
      <w:proofErr w:type="spellStart"/>
      <w:r>
        <w:rPr>
          <w:i/>
          <w:color w:val="0000FF"/>
        </w:rPr>
        <w:t>R</w:t>
      </w:r>
      <w:r>
        <w:rPr>
          <w:i/>
          <w:color w:val="0000FF"/>
          <w:vertAlign w:val="subscript"/>
        </w:rPr>
        <w:t>b</w:t>
      </w:r>
      <w:proofErr w:type="spellEnd"/>
      <w:r>
        <w:rPr>
          <w:i/>
          <w:color w:val="0000FF"/>
        </w:rPr>
        <w:t>): Variance of market</w:t>
      </w:r>
    </w:p>
    <w:p w14:paraId="68321F24" w14:textId="77777777" w:rsidR="00BE6986" w:rsidRDefault="00BE6986">
      <w:pPr>
        <w:jc w:val="both"/>
        <w:rPr>
          <w:i/>
          <w:color w:val="0000FF"/>
        </w:rPr>
      </w:pPr>
    </w:p>
    <w:p w14:paraId="65E183A4" w14:textId="77777777" w:rsidR="00BE6986" w:rsidRDefault="0047414E">
      <w:pPr>
        <w:jc w:val="both"/>
        <w:rPr>
          <w:i/>
          <w:color w:val="0000FF"/>
        </w:rPr>
      </w:pPr>
      <w:r>
        <w:rPr>
          <w:i/>
          <w:color w:val="0000FF"/>
        </w:rPr>
        <w:t xml:space="preserve">The above calculation is designed to (a) help investors understand </w:t>
      </w:r>
      <w:r>
        <w:rPr>
          <w:b/>
          <w:i/>
          <w:color w:val="0000FF"/>
        </w:rPr>
        <w:t xml:space="preserve">whether a stock moves in </w:t>
      </w:r>
      <w:r>
        <w:rPr>
          <w:b/>
          <w:i/>
          <w:color w:val="0000FF"/>
        </w:rPr>
        <w:t>the same direction as the rest of the market</w:t>
      </w:r>
      <w:r>
        <w:rPr>
          <w:i/>
          <w:color w:val="0000FF"/>
        </w:rPr>
        <w:t xml:space="preserve"> and (b) </w:t>
      </w:r>
      <w:r>
        <w:rPr>
          <w:b/>
          <w:i/>
          <w:color w:val="0000FF"/>
        </w:rPr>
        <w:t>how volatile it is compared to the market</w:t>
      </w:r>
      <w:r>
        <w:rPr>
          <w:i/>
          <w:color w:val="0000FF"/>
        </w:rPr>
        <w:t>. For beta to provide any insight, the “market” is used as a benchmark and should be related to the stock. For example, calculating a bond ETF’s beta by using the</w:t>
      </w:r>
      <w:r>
        <w:rPr>
          <w:i/>
          <w:color w:val="0000FF"/>
        </w:rPr>
        <w:t xml:space="preserve"> S&amp;P 500 as the benchmark isn’t helpful because bonds and stocks are too dissimilar.</w:t>
      </w:r>
      <w:r>
        <w:rPr>
          <w:i/>
          <w:color w:val="0000FF"/>
        </w:rPr>
        <w:br/>
      </w:r>
      <w:r>
        <w:rPr>
          <w:i/>
          <w:color w:val="0000FF"/>
        </w:rPr>
        <w:br/>
        <w:t>The benchmark used in the calculation should be related to the stock because an investor is trying to gauge how much risk a stock is adding to a portfolio. A stock that d</w:t>
      </w:r>
      <w:r>
        <w:rPr>
          <w:i/>
          <w:color w:val="0000FF"/>
        </w:rPr>
        <w:t>eviates very little from the market doesn’t add a lot of risk to a portfolio, but it also doesn’t increase the theoretical potential for greater returns.</w:t>
      </w:r>
    </w:p>
    <w:p w14:paraId="17841A13" w14:textId="77777777" w:rsidR="00BE6986" w:rsidRDefault="00BE6986">
      <w:pPr>
        <w:jc w:val="both"/>
        <w:rPr>
          <w:i/>
          <w:color w:val="0000FF"/>
        </w:rPr>
      </w:pPr>
    </w:p>
    <w:p w14:paraId="41E9092B" w14:textId="77777777" w:rsidR="00BE6986" w:rsidRDefault="0047414E">
      <w:pPr>
        <w:jc w:val="both"/>
        <w:rPr>
          <w:i/>
          <w:color w:val="38761D"/>
          <w:sz w:val="24"/>
          <w:szCs w:val="24"/>
        </w:rPr>
      </w:pPr>
      <w:r>
        <w:rPr>
          <w:i/>
          <w:color w:val="38761D"/>
          <w:sz w:val="24"/>
          <w:szCs w:val="24"/>
        </w:rPr>
        <w:t>Using R-Squared to Validate Beta</w:t>
      </w:r>
    </w:p>
    <w:p w14:paraId="24118E4A" w14:textId="77777777" w:rsidR="00BE6986" w:rsidRDefault="0047414E">
      <w:pPr>
        <w:jc w:val="both"/>
        <w:rPr>
          <w:b/>
          <w:i/>
          <w:color w:val="0000FF"/>
          <w:u w:val="single"/>
        </w:rPr>
      </w:pPr>
      <w:r>
        <w:rPr>
          <w:i/>
          <w:color w:val="0000FF"/>
        </w:rPr>
        <w:br/>
      </w:r>
      <w:r>
        <w:rPr>
          <w:b/>
          <w:i/>
          <w:color w:val="0000FF"/>
        </w:rPr>
        <w:t>In order to make sure a stock is being compared to the right benchm</w:t>
      </w:r>
      <w:r>
        <w:rPr>
          <w:b/>
          <w:i/>
          <w:color w:val="0000FF"/>
        </w:rPr>
        <w:t>ark it should have a high R-squared value in relation to the benchmark</w:t>
      </w:r>
      <w:r>
        <w:rPr>
          <w:i/>
          <w:color w:val="0000FF"/>
        </w:rPr>
        <w:t xml:space="preserve">. The </w:t>
      </w:r>
      <w:r>
        <w:rPr>
          <w:b/>
          <w:i/>
          <w:color w:val="0000FF"/>
        </w:rPr>
        <w:t>R-squared measures the percentage of a security's historical price movements that could be explained by movements in a benchmark index</w:t>
      </w:r>
      <w:r>
        <w:rPr>
          <w:i/>
          <w:color w:val="0000FF"/>
        </w:rPr>
        <w:t>. For example, a gold exchange-traded fund (ET</w:t>
      </w:r>
      <w:r>
        <w:rPr>
          <w:i/>
          <w:color w:val="0000FF"/>
        </w:rPr>
        <w:t xml:space="preserve">F), such as the SPDR Gold Shares (GLD), is tied to the performance of gold bullion. Consequently, a gold ETF would have a low beta and </w:t>
      </w:r>
      <w:r>
        <w:rPr>
          <w:color w:val="0000FF"/>
        </w:rPr>
        <w:t xml:space="preserve">low </w:t>
      </w:r>
      <w:r>
        <w:rPr>
          <w:i/>
          <w:color w:val="0000FF"/>
        </w:rPr>
        <w:t xml:space="preserve">R-squared in relation to the S&amp;P 500, for example. </w:t>
      </w:r>
      <w:r>
        <w:rPr>
          <w:b/>
          <w:i/>
          <w:color w:val="0000FF"/>
          <w:u w:val="single"/>
        </w:rPr>
        <w:t>When using beta to determine the degree of systematic risk, a secu</w:t>
      </w:r>
      <w:r>
        <w:rPr>
          <w:b/>
          <w:i/>
          <w:color w:val="0000FF"/>
          <w:u w:val="single"/>
        </w:rPr>
        <w:t>rity with a high R-squared value, in relation to its benchmark, would increase the accuracy of the beta measurement.</w:t>
      </w:r>
    </w:p>
    <w:p w14:paraId="508C744A" w14:textId="77777777" w:rsidR="00BE6986" w:rsidRDefault="00BE6986">
      <w:pPr>
        <w:jc w:val="both"/>
        <w:rPr>
          <w:i/>
          <w:color w:val="0000FF"/>
        </w:rPr>
      </w:pPr>
    </w:p>
    <w:p w14:paraId="375618B2" w14:textId="77777777" w:rsidR="00BE6986" w:rsidRDefault="0047414E">
      <w:pPr>
        <w:jc w:val="both"/>
        <w:rPr>
          <w:i/>
          <w:color w:val="38761D"/>
          <w:sz w:val="24"/>
          <w:szCs w:val="24"/>
        </w:rPr>
      </w:pPr>
      <w:r>
        <w:rPr>
          <w:i/>
          <w:color w:val="38761D"/>
          <w:sz w:val="24"/>
          <w:szCs w:val="24"/>
        </w:rPr>
        <w:lastRenderedPageBreak/>
        <w:t>Interpreting Beta</w:t>
      </w:r>
    </w:p>
    <w:p w14:paraId="7CFE2805" w14:textId="77777777" w:rsidR="00BE6986" w:rsidRDefault="0047414E">
      <w:pPr>
        <w:jc w:val="both"/>
        <w:rPr>
          <w:i/>
          <w:color w:val="0000FF"/>
        </w:rPr>
      </w:pPr>
      <w:r>
        <w:rPr>
          <w:i/>
          <w:color w:val="0000FF"/>
        </w:rPr>
        <w:br/>
        <w:t xml:space="preserve">One way for a stock investor to think about risk is to split it into two categories. The first category is called </w:t>
      </w:r>
      <w:r>
        <w:rPr>
          <w:b/>
          <w:i/>
          <w:color w:val="0000FF"/>
        </w:rPr>
        <w:t>“syst</w:t>
      </w:r>
      <w:r>
        <w:rPr>
          <w:b/>
          <w:i/>
          <w:color w:val="0000FF"/>
        </w:rPr>
        <w:t>emic risk”</w:t>
      </w:r>
      <w:r>
        <w:rPr>
          <w:i/>
          <w:color w:val="0000FF"/>
        </w:rPr>
        <w:t xml:space="preserve"> which is the risk of the entire market declining. The financial crisis in 2008 is an example of a systemic risk event when no amount of diversification could prevent investors from losing value in their stock portfolios. Systemic risk is also kn</w:t>
      </w:r>
      <w:r>
        <w:rPr>
          <w:i/>
          <w:color w:val="0000FF"/>
        </w:rPr>
        <w:t xml:space="preserve">own as “undiversifiable risk”. </w:t>
      </w:r>
      <w:proofErr w:type="spellStart"/>
      <w:r>
        <w:rPr>
          <w:b/>
          <w:i/>
          <w:color w:val="0000FF"/>
        </w:rPr>
        <w:t>Unsystemic</w:t>
      </w:r>
      <w:proofErr w:type="spellEnd"/>
      <w:r>
        <w:rPr>
          <w:b/>
          <w:i/>
          <w:color w:val="0000FF"/>
        </w:rPr>
        <w:t xml:space="preserve"> risk or idiosyncratic risks</w:t>
      </w:r>
      <w:r>
        <w:rPr>
          <w:i/>
          <w:color w:val="0000FF"/>
        </w:rPr>
        <w:t xml:space="preserve"> are associated with an individual stock. The surprise announcement that Lumber Liquidators (LL) had been selling hardwood flooring with dangerous levels of formaldehyde in 2015 is an exa</w:t>
      </w:r>
      <w:r>
        <w:rPr>
          <w:i/>
          <w:color w:val="0000FF"/>
        </w:rPr>
        <w:t xml:space="preserve">mple of </w:t>
      </w:r>
      <w:proofErr w:type="spellStart"/>
      <w:r>
        <w:rPr>
          <w:i/>
          <w:color w:val="0000FF"/>
        </w:rPr>
        <w:t>unsystemic</w:t>
      </w:r>
      <w:proofErr w:type="spellEnd"/>
      <w:r>
        <w:rPr>
          <w:i/>
          <w:color w:val="0000FF"/>
        </w:rPr>
        <w:t xml:space="preserve"> risk. </w:t>
      </w:r>
      <w:proofErr w:type="spellStart"/>
      <w:r>
        <w:rPr>
          <w:i/>
          <w:color w:val="0000FF"/>
        </w:rPr>
        <w:t>Unsystemic</w:t>
      </w:r>
      <w:proofErr w:type="spellEnd"/>
      <w:r>
        <w:rPr>
          <w:i/>
          <w:color w:val="0000FF"/>
        </w:rPr>
        <w:t xml:space="preserve"> risk can be partially mitigated through diversification.</w:t>
      </w:r>
      <w:r>
        <w:rPr>
          <w:i/>
          <w:color w:val="0000FF"/>
        </w:rPr>
        <w:br/>
      </w:r>
      <w:r>
        <w:rPr>
          <w:i/>
          <w:color w:val="0000FF"/>
        </w:rPr>
        <w:br/>
        <w:t xml:space="preserve">If a stock has a </w:t>
      </w:r>
      <w:r>
        <w:rPr>
          <w:b/>
          <w:i/>
          <w:color w:val="0000FF"/>
        </w:rPr>
        <w:t>beta of 1.00, it indicates that its price is correlated with the market</w:t>
      </w:r>
      <w:r>
        <w:rPr>
          <w:i/>
          <w:color w:val="0000FF"/>
        </w:rPr>
        <w:t>. A stock like that has systemic risk, but the beta calculation can’t dete</w:t>
      </w:r>
      <w:r>
        <w:rPr>
          <w:i/>
          <w:color w:val="0000FF"/>
        </w:rPr>
        <w:t xml:space="preserve">ct any </w:t>
      </w:r>
      <w:proofErr w:type="spellStart"/>
      <w:r>
        <w:rPr>
          <w:i/>
          <w:color w:val="0000FF"/>
        </w:rPr>
        <w:t>unsystemic</w:t>
      </w:r>
      <w:proofErr w:type="spellEnd"/>
      <w:r>
        <w:rPr>
          <w:i/>
          <w:color w:val="0000FF"/>
        </w:rPr>
        <w:t xml:space="preserve"> risk. Adding a stock to a portfolio with a beta of 1.00 doesn’t add any risk to the portfolio, but it also doesn’t increase the likelihood that the portfolio will provide excess return.</w:t>
      </w:r>
      <w:r>
        <w:rPr>
          <w:i/>
          <w:color w:val="0000FF"/>
        </w:rPr>
        <w:br/>
      </w:r>
      <w:r>
        <w:rPr>
          <w:i/>
          <w:color w:val="0000FF"/>
        </w:rPr>
        <w:br/>
        <w:t>A</w:t>
      </w:r>
      <w:r>
        <w:rPr>
          <w:b/>
          <w:i/>
          <w:color w:val="0000FF"/>
        </w:rPr>
        <w:t xml:space="preserve"> beta of less than 1.00 means that the security is</w:t>
      </w:r>
      <w:r>
        <w:rPr>
          <w:b/>
          <w:i/>
          <w:color w:val="0000FF"/>
        </w:rPr>
        <w:t xml:space="preserve"> theoretically less volatile than the market</w:t>
      </w:r>
      <w:r>
        <w:rPr>
          <w:i/>
          <w:color w:val="0000FF"/>
        </w:rPr>
        <w:t xml:space="preserve"> which means the portfolio is less risky with the stock included than without it. For example, utility stocks often have low betas because they tend to move more slowly than market averages.</w:t>
      </w:r>
      <w:r>
        <w:rPr>
          <w:i/>
          <w:color w:val="0000FF"/>
        </w:rPr>
        <w:br/>
      </w:r>
      <w:r>
        <w:rPr>
          <w:i/>
          <w:color w:val="0000FF"/>
        </w:rPr>
        <w:br/>
        <w:t xml:space="preserve">A beta that is </w:t>
      </w:r>
      <w:r>
        <w:rPr>
          <w:b/>
          <w:i/>
          <w:color w:val="0000FF"/>
        </w:rPr>
        <w:t>great</w:t>
      </w:r>
      <w:r>
        <w:rPr>
          <w:b/>
          <w:i/>
          <w:color w:val="0000FF"/>
        </w:rPr>
        <w:t>er than 1.00 indicates that the security's price is theoretically more volatile than the market</w:t>
      </w:r>
      <w:r>
        <w:rPr>
          <w:i/>
          <w:color w:val="0000FF"/>
        </w:rPr>
        <w:t>. For example, if a stock's beta is 1.20, it is assumed to be 20% more volatile than the market. Technology stocks and small caps tend to have higher betas than the market benchmark. This indicates that adding the stock to a portfolio will increase the por</w:t>
      </w:r>
      <w:r>
        <w:rPr>
          <w:i/>
          <w:color w:val="0000FF"/>
        </w:rPr>
        <w:t>tfolio’s risk, but also increase its expected return.</w:t>
      </w:r>
      <w:r>
        <w:rPr>
          <w:i/>
          <w:color w:val="0000FF"/>
        </w:rPr>
        <w:br/>
      </w:r>
      <w:r>
        <w:rPr>
          <w:i/>
          <w:color w:val="0000FF"/>
        </w:rPr>
        <w:br/>
        <w:t xml:space="preserve">Some stocks even have negative betas. A </w:t>
      </w:r>
      <w:r>
        <w:rPr>
          <w:b/>
          <w:i/>
          <w:color w:val="0000FF"/>
        </w:rPr>
        <w:t>beta of -1.00 means that the stock is inversely correlated to the market benchmark as if it were a mirror image of the benchmark’s trends</w:t>
      </w:r>
      <w:r>
        <w:rPr>
          <w:i/>
          <w:color w:val="0000FF"/>
        </w:rPr>
        <w:t>. Put options or inverse</w:t>
      </w:r>
      <w:r>
        <w:rPr>
          <w:i/>
          <w:color w:val="0000FF"/>
        </w:rPr>
        <w:t xml:space="preserve"> ETFs are designed to have negative betas but there are a few industry groups – like gold miners – </w:t>
      </w:r>
      <w:r>
        <w:rPr>
          <w:color w:val="0000FF"/>
        </w:rPr>
        <w:t>or bonds</w:t>
      </w:r>
      <w:r>
        <w:rPr>
          <w:i/>
          <w:color w:val="0000FF"/>
        </w:rPr>
        <w:t xml:space="preserve"> where a negative beta is also common. </w:t>
      </w:r>
    </w:p>
    <w:p w14:paraId="3D525355" w14:textId="77777777" w:rsidR="00BE6986" w:rsidRDefault="00BE6986">
      <w:pPr>
        <w:jc w:val="both"/>
        <w:rPr>
          <w:i/>
          <w:color w:val="38761D"/>
          <w:sz w:val="24"/>
          <w:szCs w:val="24"/>
        </w:rPr>
      </w:pPr>
    </w:p>
    <w:p w14:paraId="1A53C61D" w14:textId="77777777" w:rsidR="00BE6986" w:rsidRDefault="0047414E">
      <w:pPr>
        <w:jc w:val="both"/>
        <w:rPr>
          <w:i/>
          <w:color w:val="38761D"/>
          <w:sz w:val="24"/>
          <w:szCs w:val="24"/>
        </w:rPr>
      </w:pPr>
      <w:r>
        <w:rPr>
          <w:i/>
          <w:color w:val="38761D"/>
          <w:sz w:val="24"/>
          <w:szCs w:val="24"/>
        </w:rPr>
        <w:t>Beta in Theory vs. Beta in Practice</w:t>
      </w:r>
    </w:p>
    <w:p w14:paraId="1AE3FF09" w14:textId="77777777" w:rsidR="00BE6986" w:rsidRDefault="00BE6986">
      <w:pPr>
        <w:jc w:val="both"/>
        <w:rPr>
          <w:i/>
          <w:color w:val="38761D"/>
          <w:sz w:val="24"/>
          <w:szCs w:val="24"/>
        </w:rPr>
      </w:pPr>
    </w:p>
    <w:p w14:paraId="37BBAE19" w14:textId="77777777" w:rsidR="00BE6986" w:rsidRDefault="0047414E">
      <w:pPr>
        <w:jc w:val="both"/>
        <w:rPr>
          <w:b/>
        </w:rPr>
      </w:pPr>
      <w:r>
        <w:rPr>
          <w:i/>
          <w:color w:val="0000FF"/>
        </w:rPr>
        <w:t xml:space="preserve">The beta coefficient assumes that </w:t>
      </w:r>
      <w:r>
        <w:rPr>
          <w:b/>
          <w:i/>
          <w:color w:val="0000FF"/>
        </w:rPr>
        <w:t>stock returns are normally distribute</w:t>
      </w:r>
      <w:r>
        <w:rPr>
          <w:b/>
          <w:i/>
          <w:color w:val="0000FF"/>
        </w:rPr>
        <w:t>d</w:t>
      </w:r>
      <w:r>
        <w:rPr>
          <w:i/>
          <w:color w:val="0000FF"/>
        </w:rPr>
        <w:t xml:space="preserve"> from a statistical perspective. However, financial markets are prone to large surprises, so we know that </w:t>
      </w:r>
      <w:r>
        <w:rPr>
          <w:b/>
          <w:i/>
          <w:color w:val="0000FF"/>
        </w:rPr>
        <w:t>returns aren’t normally distributed</w:t>
      </w:r>
      <w:r>
        <w:rPr>
          <w:i/>
          <w:color w:val="0000FF"/>
        </w:rPr>
        <w:t xml:space="preserve">. Therefore, what </w:t>
      </w:r>
      <w:r>
        <w:rPr>
          <w:b/>
          <w:i/>
          <w:color w:val="0000FF"/>
        </w:rPr>
        <w:t>beta might predict about a stock’s movement isn’t always true</w:t>
      </w:r>
      <w:r>
        <w:rPr>
          <w:i/>
          <w:color w:val="0000FF"/>
        </w:rPr>
        <w:t>.</w:t>
      </w:r>
      <w:r>
        <w:rPr>
          <w:i/>
          <w:color w:val="0000FF"/>
        </w:rPr>
        <w:br/>
      </w:r>
      <w:r>
        <w:rPr>
          <w:i/>
          <w:color w:val="0000FF"/>
        </w:rPr>
        <w:br/>
      </w:r>
      <w:r>
        <w:rPr>
          <w:b/>
          <w:i/>
          <w:color w:val="0000FF"/>
        </w:rPr>
        <w:t>A stock with a very low beta cou</w:t>
      </w:r>
      <w:r>
        <w:rPr>
          <w:b/>
          <w:i/>
          <w:color w:val="0000FF"/>
        </w:rPr>
        <w:t xml:space="preserve">ld have smaller price swings and yet still be in a long-term downtrend. In this case adding a down trending stock with a low beta only decreases risk in a portfolio if we define risk as a function of volatility rather than the potential for losses. From a </w:t>
      </w:r>
      <w:r>
        <w:rPr>
          <w:b/>
          <w:i/>
          <w:color w:val="0000FF"/>
        </w:rPr>
        <w:t>practical perspective, a low beta stock in a downtrend isn’t likely to improve a portfolio’s performance.</w:t>
      </w:r>
      <w:r>
        <w:rPr>
          <w:b/>
          <w:i/>
          <w:color w:val="0000FF"/>
        </w:rPr>
        <w:br/>
      </w:r>
      <w:r>
        <w:rPr>
          <w:b/>
          <w:i/>
          <w:color w:val="0000FF"/>
        </w:rPr>
        <w:br/>
        <w:t>Similarly, a high beta stock that is volatile in a mostly upward direction will increase the risk of a portfolio but add gains as well. Investors usi</w:t>
      </w:r>
      <w:r>
        <w:rPr>
          <w:b/>
          <w:i/>
          <w:color w:val="0000FF"/>
        </w:rPr>
        <w:t>ng beta to evaluate a stock will need to evaluate it from other perspectives—such as fundamental or technical factors—before assuming it will add or remove risk from a portfolio.</w:t>
      </w:r>
    </w:p>
    <w:p w14:paraId="3612C6E8" w14:textId="77777777" w:rsidR="00BE6986" w:rsidRDefault="00BE6986">
      <w:pPr>
        <w:jc w:val="both"/>
        <w:rPr>
          <w:i/>
          <w:color w:val="38761D"/>
          <w:sz w:val="24"/>
          <w:szCs w:val="24"/>
        </w:rPr>
      </w:pPr>
    </w:p>
    <w:p w14:paraId="0965733F" w14:textId="77777777" w:rsidR="00BE6986" w:rsidRDefault="0047414E">
      <w:pPr>
        <w:jc w:val="both"/>
        <w:rPr>
          <w:i/>
          <w:color w:val="38761D"/>
          <w:sz w:val="24"/>
          <w:szCs w:val="24"/>
        </w:rPr>
      </w:pPr>
      <w:r>
        <w:rPr>
          <w:i/>
          <w:color w:val="38761D"/>
          <w:sz w:val="24"/>
          <w:szCs w:val="24"/>
        </w:rPr>
        <w:t>Beta in Theory vs. Beta in Practice</w:t>
      </w:r>
    </w:p>
    <w:p w14:paraId="1402FDDF" w14:textId="77777777" w:rsidR="00BE6986" w:rsidRDefault="00BE6986">
      <w:pPr>
        <w:jc w:val="both"/>
        <w:rPr>
          <w:i/>
          <w:color w:val="38761D"/>
          <w:sz w:val="24"/>
          <w:szCs w:val="24"/>
        </w:rPr>
      </w:pPr>
    </w:p>
    <w:p w14:paraId="51D22083" w14:textId="77777777" w:rsidR="00BE6986" w:rsidRDefault="0047414E">
      <w:pPr>
        <w:jc w:val="both"/>
      </w:pPr>
      <w:r>
        <w:rPr>
          <w:b/>
          <w:i/>
          <w:color w:val="0000FF"/>
        </w:rPr>
        <w:lastRenderedPageBreak/>
        <w:t>A stock’s beta or beta coefficient is a</w:t>
      </w:r>
      <w:r>
        <w:rPr>
          <w:b/>
          <w:i/>
          <w:color w:val="0000FF"/>
        </w:rPr>
        <w:t xml:space="preserve"> measure of the stock’s level of systemic and </w:t>
      </w:r>
      <w:proofErr w:type="spellStart"/>
      <w:r>
        <w:rPr>
          <w:b/>
          <w:i/>
          <w:color w:val="0000FF"/>
        </w:rPr>
        <w:t>unsystemic</w:t>
      </w:r>
      <w:proofErr w:type="spellEnd"/>
      <w:r>
        <w:rPr>
          <w:b/>
          <w:i/>
          <w:color w:val="0000FF"/>
        </w:rPr>
        <w:t xml:space="preserve"> risk based on in its prior performance. The beta of an individual stock only tells an investor theoretically how much risk the stock will add (or potentially subtract) from a diversified portfolio. F</w:t>
      </w:r>
      <w:r>
        <w:rPr>
          <w:b/>
          <w:i/>
          <w:color w:val="0000FF"/>
        </w:rPr>
        <w:t>or beta to be meaningful, the stock and the benchmark used in the calculation should be related.”</w:t>
      </w:r>
      <w:r>
        <w:br w:type="page"/>
      </w:r>
    </w:p>
    <w:p w14:paraId="05362CE4" w14:textId="77777777" w:rsidR="00BE6986" w:rsidRDefault="0047414E">
      <w:pPr>
        <w:pStyle w:val="Heading2"/>
        <w:jc w:val="both"/>
        <w:rPr>
          <w:rFonts w:ascii="Arial" w:eastAsia="Arial" w:hAnsi="Arial" w:cs="Arial"/>
          <w:color w:val="FF0000"/>
          <w:sz w:val="28"/>
          <w:szCs w:val="28"/>
        </w:rPr>
      </w:pPr>
      <w:bookmarkStart w:id="4" w:name="_9kiz6jpbgp2p" w:colFirst="0" w:colLast="0"/>
      <w:bookmarkEnd w:id="4"/>
      <w:r>
        <w:rPr>
          <w:rFonts w:ascii="Arial" w:eastAsia="Arial" w:hAnsi="Arial" w:cs="Arial"/>
          <w:color w:val="FF0000"/>
          <w:sz w:val="28"/>
          <w:szCs w:val="28"/>
        </w:rPr>
        <w:lastRenderedPageBreak/>
        <w:t>What's the relationship between R-squared and beta?</w:t>
      </w:r>
      <w:r>
        <w:rPr>
          <w:rFonts w:ascii="Arial" w:eastAsia="Arial" w:hAnsi="Arial" w:cs="Arial"/>
          <w:color w:val="FF0000"/>
          <w:sz w:val="28"/>
          <w:szCs w:val="28"/>
          <w:vertAlign w:val="superscript"/>
        </w:rPr>
        <w:footnoteReference w:id="3"/>
      </w:r>
    </w:p>
    <w:p w14:paraId="0A64DE81" w14:textId="77777777" w:rsidR="00BE6986" w:rsidRDefault="00BE6986"/>
    <w:p w14:paraId="5AB8ACC4" w14:textId="77777777" w:rsidR="00BE6986" w:rsidRDefault="0047414E">
      <w:pPr>
        <w:pBdr>
          <w:top w:val="nil"/>
          <w:left w:val="nil"/>
          <w:bottom w:val="nil"/>
          <w:right w:val="nil"/>
          <w:between w:val="nil"/>
        </w:pBdr>
        <w:jc w:val="both"/>
        <w:rPr>
          <w:b/>
          <w:i/>
          <w:color w:val="0000FF"/>
        </w:rPr>
      </w:pPr>
      <w:r>
        <w:rPr>
          <w:i/>
          <w:color w:val="0000FF"/>
        </w:rPr>
        <w:t>“</w:t>
      </w:r>
      <w:r>
        <w:rPr>
          <w:b/>
          <w:i/>
          <w:color w:val="0000FF"/>
        </w:rPr>
        <w:t>Beta and R-squared are two related, but different, measures.</w:t>
      </w:r>
      <w:r>
        <w:rPr>
          <w:i/>
          <w:color w:val="0000FF"/>
        </w:rPr>
        <w:t xml:space="preserve"> A mutual fund with a high R-squared correlates highly with a ‘</w:t>
      </w:r>
      <w:hyperlink r:id="rId9">
        <w:r>
          <w:rPr>
            <w:i/>
            <w:color w:val="0000FF"/>
            <w:u w:val="single"/>
          </w:rPr>
          <w:t>benchmark</w:t>
        </w:r>
      </w:hyperlink>
      <w:r>
        <w:rPr>
          <w:i/>
          <w:color w:val="0000FF"/>
          <w:u w:val="single"/>
        </w:rPr>
        <w:t>’</w:t>
      </w:r>
      <w:r>
        <w:rPr>
          <w:i/>
          <w:color w:val="0000FF"/>
        </w:rPr>
        <w:t>. If the beta is also high, it may produce higher ret</w:t>
      </w:r>
      <w:r>
        <w:rPr>
          <w:i/>
          <w:color w:val="0000FF"/>
        </w:rPr>
        <w:t xml:space="preserve">urns than the benchmark, particularly in </w:t>
      </w:r>
      <w:hyperlink r:id="rId10">
        <w:r>
          <w:rPr>
            <w:i/>
            <w:color w:val="0000FF"/>
          </w:rPr>
          <w:t>bull markets</w:t>
        </w:r>
      </w:hyperlink>
      <w:r>
        <w:rPr>
          <w:i/>
          <w:color w:val="0000FF"/>
        </w:rPr>
        <w:t xml:space="preserve">. </w:t>
      </w:r>
      <w:r>
        <w:rPr>
          <w:b/>
          <w:i/>
          <w:color w:val="0000FF"/>
        </w:rPr>
        <w:t>R-squared measures how closely each change in the price of an asset is correlated to a benchmark.</w:t>
      </w:r>
      <w:r>
        <w:rPr>
          <w:i/>
          <w:color w:val="0000FF"/>
        </w:rPr>
        <w:t xml:space="preserve"> </w:t>
      </w:r>
      <w:r>
        <w:rPr>
          <w:b/>
          <w:i/>
          <w:color w:val="0000FF"/>
        </w:rPr>
        <w:t>Beta measures how large those price changes are in relation to a benchmark.</w:t>
      </w:r>
      <w:r>
        <w:rPr>
          <w:i/>
          <w:color w:val="0000FF"/>
        </w:rPr>
        <w:t xml:space="preserve"> </w:t>
      </w:r>
      <w:r>
        <w:rPr>
          <w:b/>
          <w:i/>
          <w:color w:val="0000FF"/>
        </w:rPr>
        <w:t>Used together, R-squared and beta give investors a thorough picture of the performance of asset managers.</w:t>
      </w:r>
    </w:p>
    <w:p w14:paraId="79C8B3FD" w14:textId="77777777" w:rsidR="00BE6986" w:rsidRDefault="00BE6986">
      <w:pPr>
        <w:pBdr>
          <w:top w:val="nil"/>
          <w:left w:val="nil"/>
          <w:bottom w:val="nil"/>
          <w:right w:val="nil"/>
          <w:between w:val="nil"/>
        </w:pBdr>
        <w:jc w:val="both"/>
        <w:rPr>
          <w:i/>
          <w:color w:val="0000FF"/>
        </w:rPr>
      </w:pPr>
    </w:p>
    <w:p w14:paraId="23ADFA7B" w14:textId="77777777" w:rsidR="00BE6986" w:rsidRDefault="0047414E">
      <w:pPr>
        <w:pBdr>
          <w:top w:val="nil"/>
          <w:left w:val="nil"/>
          <w:bottom w:val="nil"/>
          <w:right w:val="nil"/>
          <w:between w:val="nil"/>
        </w:pBdr>
        <w:jc w:val="both"/>
        <w:rPr>
          <w:i/>
          <w:color w:val="38761D"/>
          <w:sz w:val="24"/>
          <w:szCs w:val="24"/>
        </w:rPr>
      </w:pPr>
      <w:r>
        <w:rPr>
          <w:i/>
          <w:color w:val="38761D"/>
          <w:sz w:val="24"/>
          <w:szCs w:val="24"/>
        </w:rPr>
        <w:t>R-Squared Measures How Performance Matches a Benchmark</w:t>
      </w:r>
    </w:p>
    <w:p w14:paraId="646F070A" w14:textId="77777777" w:rsidR="00BE6986" w:rsidRDefault="00BE6986">
      <w:pPr>
        <w:pBdr>
          <w:top w:val="nil"/>
          <w:left w:val="nil"/>
          <w:bottom w:val="nil"/>
          <w:right w:val="nil"/>
          <w:between w:val="nil"/>
        </w:pBdr>
        <w:jc w:val="both"/>
        <w:rPr>
          <w:i/>
          <w:color w:val="38761D"/>
          <w:sz w:val="24"/>
          <w:szCs w:val="24"/>
        </w:rPr>
      </w:pPr>
    </w:p>
    <w:p w14:paraId="126DF9FB" w14:textId="77777777" w:rsidR="00BE6986" w:rsidRDefault="0047414E">
      <w:pPr>
        <w:pBdr>
          <w:top w:val="nil"/>
          <w:left w:val="nil"/>
          <w:bottom w:val="nil"/>
          <w:right w:val="nil"/>
          <w:between w:val="nil"/>
        </w:pBdr>
        <w:jc w:val="both"/>
        <w:rPr>
          <w:i/>
          <w:color w:val="0000FF"/>
        </w:rPr>
      </w:pPr>
      <w:r>
        <w:rPr>
          <w:i/>
          <w:color w:val="38761D"/>
          <w:sz w:val="24"/>
          <w:szCs w:val="24"/>
        </w:rPr>
        <w:t>‘</w:t>
      </w:r>
      <w:hyperlink r:id="rId11">
        <w:r>
          <w:rPr>
            <w:i/>
            <w:color w:val="0000FF"/>
            <w:u w:val="single"/>
          </w:rPr>
          <w:t>R-squared</w:t>
        </w:r>
      </w:hyperlink>
      <w:r>
        <w:rPr>
          <w:i/>
          <w:color w:val="0000FF"/>
        </w:rPr>
        <w:t>’ is a measure of the percentage of an asset or fund's performance as a result of a benchmark. It is reported as a number between 0 and 100. A hypothetical mutual fund with an R-squared of 0 ha</w:t>
      </w:r>
      <w:r>
        <w:rPr>
          <w:i/>
          <w:color w:val="0000FF"/>
        </w:rPr>
        <w:t>s no correlation to its benchmark at all. A mutual fund with an R-squared of 100 matches the performance of its benchmark precisely.</w:t>
      </w:r>
    </w:p>
    <w:p w14:paraId="201BC284" w14:textId="77777777" w:rsidR="00BE6986" w:rsidRDefault="0047414E">
      <w:pPr>
        <w:pBdr>
          <w:top w:val="nil"/>
          <w:left w:val="nil"/>
          <w:bottom w:val="nil"/>
          <w:right w:val="nil"/>
          <w:between w:val="nil"/>
        </w:pBdr>
        <w:jc w:val="both"/>
        <w:rPr>
          <w:i/>
          <w:color w:val="0000FF"/>
        </w:rPr>
      </w:pPr>
      <w:hyperlink r:id="rId12">
        <w:r>
          <w:rPr>
            <w:i/>
            <w:color w:val="0000FF"/>
          </w:rPr>
          <w:t>Beta</w:t>
        </w:r>
      </w:hyperlink>
      <w:r>
        <w:rPr>
          <w:i/>
          <w:color w:val="0000FF"/>
        </w:rPr>
        <w:t xml:space="preserve"> is a measure of a fund or asset's sensitivity to the </w:t>
      </w:r>
      <w:r>
        <w:rPr>
          <w:i/>
          <w:color w:val="0000FF"/>
        </w:rPr>
        <w:t>correlated moves of a benchmark. A mutual fund with a beta of 1.0 is exactly as sensitive, or volatile, as its benchmark. A fund with a beta of 0.80 is 20% less sensitive or volatile, and a fund with a beta of 1.20 is 20% more sensitive or volatile.</w:t>
      </w:r>
    </w:p>
    <w:p w14:paraId="6401FB7F" w14:textId="77777777" w:rsidR="00BE6986" w:rsidRDefault="00BE6986">
      <w:pPr>
        <w:pBdr>
          <w:top w:val="nil"/>
          <w:left w:val="nil"/>
          <w:bottom w:val="nil"/>
          <w:right w:val="nil"/>
          <w:between w:val="nil"/>
        </w:pBdr>
        <w:jc w:val="both"/>
        <w:rPr>
          <w:i/>
          <w:color w:val="0000FF"/>
        </w:rPr>
      </w:pPr>
    </w:p>
    <w:p w14:paraId="3B1A2428" w14:textId="77777777" w:rsidR="00BE6986" w:rsidRDefault="0047414E">
      <w:pPr>
        <w:pBdr>
          <w:top w:val="nil"/>
          <w:left w:val="nil"/>
          <w:bottom w:val="nil"/>
          <w:right w:val="nil"/>
          <w:between w:val="nil"/>
        </w:pBdr>
        <w:jc w:val="both"/>
        <w:rPr>
          <w:i/>
          <w:color w:val="0000FF"/>
        </w:rPr>
      </w:pPr>
      <w:r>
        <w:rPr>
          <w:i/>
          <w:color w:val="0000FF"/>
        </w:rPr>
        <w:t>‘</w:t>
      </w:r>
      <w:hyperlink r:id="rId13">
        <w:r>
          <w:rPr>
            <w:b/>
            <w:i/>
            <w:color w:val="0000FF"/>
            <w:u w:val="single"/>
          </w:rPr>
          <w:t>Alpha</w:t>
        </w:r>
      </w:hyperlink>
      <w:r>
        <w:rPr>
          <w:i/>
          <w:color w:val="0000FF"/>
          <w:u w:val="single"/>
        </w:rPr>
        <w:t>’</w:t>
      </w:r>
      <w:r>
        <w:rPr>
          <w:b/>
          <w:i/>
          <w:color w:val="0000FF"/>
        </w:rPr>
        <w:t xml:space="preserve"> </w:t>
      </w:r>
      <w:r>
        <w:rPr>
          <w:b/>
          <w:color w:val="0000FF"/>
        </w:rPr>
        <w:t>- referred to as “excess return” or “abnormal rate of return” -</w:t>
      </w:r>
      <w:r>
        <w:rPr>
          <w:b/>
          <w:i/>
          <w:color w:val="0000FF"/>
        </w:rPr>
        <w:t xml:space="preserve"> is a third measure, which measures asset managers' ability to capture profit when a benchmark is also profiting.</w:t>
      </w:r>
      <w:r>
        <w:rPr>
          <w:i/>
          <w:color w:val="0000FF"/>
        </w:rPr>
        <w:t xml:space="preserve"> Alpha is r</w:t>
      </w:r>
      <w:r>
        <w:rPr>
          <w:i/>
          <w:color w:val="0000FF"/>
        </w:rPr>
        <w:t xml:space="preserve">eported as a number less than, equal to, or greater than 0. </w:t>
      </w:r>
      <w:r>
        <w:rPr>
          <w:color w:val="0000FF"/>
        </w:rPr>
        <w:t xml:space="preserve">It is interpreted as percentage how the stock performed compared to the benchmark (such as 2.4% better or -1.5% worse). </w:t>
      </w:r>
      <w:r>
        <w:rPr>
          <w:i/>
          <w:color w:val="0000FF"/>
        </w:rPr>
        <w:t xml:space="preserve">The higher a manager's alpha, the greater his or her ability to profit from </w:t>
      </w:r>
      <w:r>
        <w:rPr>
          <w:i/>
          <w:color w:val="0000FF"/>
        </w:rPr>
        <w:t xml:space="preserve">moves in the underlying benchmark. Some top-performing </w:t>
      </w:r>
      <w:hyperlink r:id="rId14">
        <w:r>
          <w:rPr>
            <w:i/>
            <w:color w:val="0000FF"/>
          </w:rPr>
          <w:t>hedge fund managers</w:t>
        </w:r>
      </w:hyperlink>
      <w:r>
        <w:rPr>
          <w:i/>
          <w:color w:val="0000FF"/>
        </w:rPr>
        <w:t xml:space="preserve"> have achieved short-term alphas as high as 5 or more using the Standard &amp; Poor's 500 Index as a benchm</w:t>
      </w:r>
      <w:r>
        <w:rPr>
          <w:i/>
          <w:color w:val="0000FF"/>
        </w:rPr>
        <w:t>ark.</w:t>
      </w:r>
    </w:p>
    <w:p w14:paraId="74E9F762" w14:textId="77777777" w:rsidR="00BE6986" w:rsidRDefault="00BE6986">
      <w:pPr>
        <w:pBdr>
          <w:top w:val="nil"/>
          <w:left w:val="nil"/>
          <w:bottom w:val="nil"/>
          <w:right w:val="nil"/>
          <w:between w:val="nil"/>
        </w:pBdr>
        <w:jc w:val="both"/>
        <w:rPr>
          <w:i/>
          <w:color w:val="0000FF"/>
        </w:rPr>
      </w:pPr>
    </w:p>
    <w:p w14:paraId="4EC4572C" w14:textId="77777777" w:rsidR="00BE6986" w:rsidRDefault="0047414E">
      <w:pPr>
        <w:pBdr>
          <w:top w:val="nil"/>
          <w:left w:val="nil"/>
          <w:bottom w:val="nil"/>
          <w:right w:val="nil"/>
          <w:between w:val="nil"/>
        </w:pBdr>
        <w:jc w:val="both"/>
        <w:rPr>
          <w:i/>
          <w:color w:val="0000FF"/>
        </w:rPr>
      </w:pPr>
      <w:r>
        <w:rPr>
          <w:b/>
          <w:i/>
          <w:color w:val="0000FF"/>
          <w:sz w:val="24"/>
          <w:szCs w:val="24"/>
          <w:u w:val="single"/>
        </w:rPr>
        <w:t>The alpha and beta of assets with R-squared figures below 50 are thought to be unreliable because the assets are not correlated enough to make a worthwhile comparison.</w:t>
      </w:r>
      <w:r>
        <w:rPr>
          <w:i/>
          <w:color w:val="0000FF"/>
        </w:rPr>
        <w:t xml:space="preserve"> A low R-squared or beta does not necessarily make an investment a poor choice, it </w:t>
      </w:r>
      <w:r>
        <w:rPr>
          <w:i/>
          <w:color w:val="0000FF"/>
        </w:rPr>
        <w:t>merely means its performance is statistically unrelated to its benchmark.”</w:t>
      </w:r>
    </w:p>
    <w:p w14:paraId="5D511477" w14:textId="77777777" w:rsidR="00BE6986" w:rsidRDefault="0047414E">
      <w:pPr>
        <w:pBdr>
          <w:top w:val="nil"/>
          <w:left w:val="nil"/>
          <w:bottom w:val="nil"/>
          <w:right w:val="nil"/>
          <w:between w:val="nil"/>
        </w:pBdr>
        <w:jc w:val="both"/>
        <w:rPr>
          <w:color w:val="0000FF"/>
        </w:rPr>
      </w:pPr>
      <w:r>
        <w:rPr>
          <w:noProof/>
          <w:color w:val="0000FF"/>
        </w:rPr>
        <w:drawing>
          <wp:inline distT="114300" distB="114300" distL="114300" distR="114300" wp14:anchorId="7329AD31" wp14:editId="20E628EA">
            <wp:extent cx="7052400" cy="2794000"/>
            <wp:effectExtent l="0" t="0" r="0" b="0"/>
            <wp:docPr id="10"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15"/>
                    <a:srcRect/>
                    <a:stretch>
                      <a:fillRect/>
                    </a:stretch>
                  </pic:blipFill>
                  <pic:spPr>
                    <a:xfrm>
                      <a:off x="0" y="0"/>
                      <a:ext cx="7052400" cy="2794000"/>
                    </a:xfrm>
                    <a:prstGeom prst="rect">
                      <a:avLst/>
                    </a:prstGeom>
                    <a:ln/>
                  </pic:spPr>
                </pic:pic>
              </a:graphicData>
            </a:graphic>
          </wp:inline>
        </w:drawing>
      </w:r>
    </w:p>
    <w:p w14:paraId="0A8AFF23" w14:textId="77777777" w:rsidR="00BE6986" w:rsidRDefault="00BE6986">
      <w:pPr>
        <w:jc w:val="both"/>
        <w:rPr>
          <w:color w:val="FF0000"/>
        </w:rPr>
      </w:pPr>
    </w:p>
    <w:p w14:paraId="116A9665" w14:textId="77777777" w:rsidR="00BE6986" w:rsidRDefault="0047414E">
      <w:pPr>
        <w:jc w:val="both"/>
      </w:pPr>
      <w:r>
        <w:rPr>
          <w:color w:val="FF0000"/>
        </w:rPr>
        <w:t xml:space="preserve">Caution! High correlation in itself can be misleading: </w:t>
      </w:r>
      <w:hyperlink r:id="rId16">
        <w:r>
          <w:rPr>
            <w:i/>
            <w:color w:val="FF0000"/>
            <w:u w:val="single"/>
          </w:rPr>
          <w:t>Spurious correlations</w:t>
        </w:r>
      </w:hyperlink>
      <w:r>
        <w:rPr>
          <w:i/>
          <w:color w:val="FF0000"/>
        </w:rPr>
        <w:t xml:space="preserve">  </w:t>
      </w:r>
      <w:r>
        <w:rPr>
          <w:color w:val="FF0000"/>
        </w:rPr>
        <w:t>😉</w:t>
      </w:r>
    </w:p>
    <w:p w14:paraId="41184867" w14:textId="77777777" w:rsidR="00BE6986" w:rsidRDefault="0047414E">
      <w:pPr>
        <w:pStyle w:val="Heading2"/>
        <w:jc w:val="both"/>
        <w:rPr>
          <w:rFonts w:ascii="Arial" w:eastAsia="Arial" w:hAnsi="Arial" w:cs="Arial"/>
          <w:color w:val="FF0000"/>
          <w:sz w:val="28"/>
          <w:szCs w:val="28"/>
        </w:rPr>
      </w:pPr>
      <w:bookmarkStart w:id="5" w:name="_h7xgx45nk6fh" w:colFirst="0" w:colLast="0"/>
      <w:bookmarkEnd w:id="5"/>
      <w:r>
        <w:rPr>
          <w:rFonts w:ascii="Arial" w:eastAsia="Arial" w:hAnsi="Arial" w:cs="Arial"/>
          <w:color w:val="FF0000"/>
          <w:sz w:val="28"/>
          <w:szCs w:val="28"/>
        </w:rPr>
        <w:lastRenderedPageBreak/>
        <w:t>What is NOT the Beta?</w:t>
      </w:r>
    </w:p>
    <w:p w14:paraId="5B9E7B99" w14:textId="77777777" w:rsidR="00BE6986" w:rsidRDefault="00BE6986"/>
    <w:p w14:paraId="69F870CD" w14:textId="77777777" w:rsidR="00BE6986" w:rsidRDefault="0047414E">
      <w:pPr>
        <w:jc w:val="both"/>
      </w:pPr>
      <w:r>
        <w:t xml:space="preserve">Most of the investors believe that when a stock moves +5% in a given time period while its benchmark (e.g. SP500 or Nasdaq) only changes +2.5% during this time, the beta is exactly 2 (+5%/2.5%). </w:t>
      </w:r>
      <w:r>
        <w:rPr>
          <w:b/>
        </w:rPr>
        <w:t>But - generally - this is not the case</w:t>
      </w:r>
      <w:r>
        <w:t>.</w:t>
      </w:r>
    </w:p>
    <w:p w14:paraId="7B0C489A" w14:textId="77777777" w:rsidR="00BE6986" w:rsidRDefault="00BE6986">
      <w:pPr>
        <w:jc w:val="both"/>
      </w:pPr>
    </w:p>
    <w:p w14:paraId="214A3DE0" w14:textId="77777777" w:rsidR="00BE6986" w:rsidRDefault="0047414E">
      <w:pPr>
        <w:jc w:val="both"/>
        <w:rPr>
          <w:color w:val="222222"/>
          <w:sz w:val="21"/>
          <w:szCs w:val="21"/>
        </w:rPr>
      </w:pPr>
      <w:r>
        <w:rPr>
          <w:i/>
          <w:color w:val="0000FF"/>
        </w:rPr>
        <w:t>“</w:t>
      </w:r>
      <w:r>
        <w:rPr>
          <w:b/>
          <w:i/>
          <w:color w:val="0000FF"/>
        </w:rPr>
        <w:t>A statistical estimate of beta is calculated by a regression method</w:t>
      </w:r>
      <w:r>
        <w:rPr>
          <w:i/>
          <w:color w:val="0000FF"/>
        </w:rPr>
        <w:t>. For a given asset and a benchmark, the goal is to find an approximate formula</w:t>
      </w:r>
    </w:p>
    <w:p w14:paraId="38346CA7" w14:textId="77777777" w:rsidR="00BE6986" w:rsidRDefault="0047414E">
      <w:pPr>
        <w:spacing w:before="40" w:after="140"/>
        <w:ind w:left="340"/>
        <w:jc w:val="both"/>
        <w:rPr>
          <w:color w:val="222222"/>
          <w:sz w:val="25"/>
          <w:szCs w:val="25"/>
          <w:highlight w:val="white"/>
        </w:rPr>
      </w:pPr>
      <w:r>
        <w:rPr>
          <w:noProof/>
          <w:color w:val="222222"/>
          <w:sz w:val="25"/>
          <w:szCs w:val="25"/>
          <w:highlight w:val="white"/>
        </w:rPr>
        <w:drawing>
          <wp:inline distT="114300" distB="114300" distL="114300" distR="114300" wp14:anchorId="38BC5314" wp14:editId="2BCBF757">
            <wp:extent cx="981075" cy="190500"/>
            <wp:effectExtent l="0" t="0" r="0" b="0"/>
            <wp:docPr id="1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7"/>
                    <a:srcRect/>
                    <a:stretch>
                      <a:fillRect/>
                    </a:stretch>
                  </pic:blipFill>
                  <pic:spPr>
                    <a:xfrm>
                      <a:off x="0" y="0"/>
                      <a:ext cx="981075" cy="190500"/>
                    </a:xfrm>
                    <a:prstGeom prst="rect">
                      <a:avLst/>
                    </a:prstGeom>
                    <a:ln/>
                  </pic:spPr>
                </pic:pic>
              </a:graphicData>
            </a:graphic>
          </wp:inline>
        </w:drawing>
      </w:r>
    </w:p>
    <w:p w14:paraId="4E3917F0" w14:textId="77777777" w:rsidR="00BE6986" w:rsidRDefault="0047414E">
      <w:pPr>
        <w:pBdr>
          <w:top w:val="nil"/>
          <w:left w:val="nil"/>
          <w:bottom w:val="nil"/>
          <w:right w:val="nil"/>
          <w:between w:val="nil"/>
        </w:pBdr>
        <w:jc w:val="both"/>
        <w:rPr>
          <w:i/>
          <w:color w:val="0000FF"/>
        </w:rPr>
      </w:pPr>
      <w:r>
        <w:rPr>
          <w:i/>
          <w:color w:val="0000FF"/>
        </w:rPr>
        <w:t xml:space="preserve">where </w:t>
      </w:r>
      <w:proofErr w:type="spellStart"/>
      <w:r>
        <w:rPr>
          <w:i/>
          <w:color w:val="0000FF"/>
        </w:rPr>
        <w:t>r</w:t>
      </w:r>
      <w:r>
        <w:rPr>
          <w:i/>
          <w:color w:val="0000FF"/>
          <w:vertAlign w:val="subscript"/>
        </w:rPr>
        <w:t>a</w:t>
      </w:r>
      <w:proofErr w:type="spellEnd"/>
      <w:r>
        <w:rPr>
          <w:i/>
          <w:color w:val="0000FF"/>
        </w:rPr>
        <w:t xml:space="preserve"> is the return of the asset, </w:t>
      </w:r>
      <w:hyperlink r:id="rId18">
        <w:r>
          <w:rPr>
            <w:i/>
            <w:color w:val="0000FF"/>
          </w:rPr>
          <w:t>a</w:t>
        </w:r>
        <w:r>
          <w:rPr>
            <w:i/>
            <w:color w:val="0000FF"/>
          </w:rPr>
          <w:t>lpha</w:t>
        </w:r>
      </w:hyperlink>
      <w:r>
        <w:rPr>
          <w:i/>
          <w:color w:val="0000FF"/>
        </w:rPr>
        <w:t xml:space="preserve"> (α) is the active return, and </w:t>
      </w:r>
      <w:proofErr w:type="spellStart"/>
      <w:r>
        <w:rPr>
          <w:i/>
          <w:color w:val="0000FF"/>
        </w:rPr>
        <w:t>r</w:t>
      </w:r>
      <w:r>
        <w:rPr>
          <w:i/>
          <w:color w:val="0000FF"/>
          <w:vertAlign w:val="subscript"/>
        </w:rPr>
        <w:t>b</w:t>
      </w:r>
      <w:proofErr w:type="spellEnd"/>
      <w:r>
        <w:rPr>
          <w:i/>
          <w:color w:val="0000FF"/>
        </w:rPr>
        <w:t xml:space="preserve"> is return of the benchmark.</w:t>
      </w:r>
    </w:p>
    <w:p w14:paraId="7F5820C9" w14:textId="77777777" w:rsidR="00BE6986" w:rsidRDefault="00BE6986">
      <w:pPr>
        <w:pBdr>
          <w:top w:val="nil"/>
          <w:left w:val="nil"/>
          <w:bottom w:val="nil"/>
          <w:right w:val="nil"/>
          <w:between w:val="nil"/>
        </w:pBdr>
        <w:jc w:val="both"/>
        <w:rPr>
          <w:i/>
          <w:color w:val="0000FF"/>
        </w:rPr>
      </w:pPr>
    </w:p>
    <w:p w14:paraId="72EEAD9C" w14:textId="77777777" w:rsidR="00BE6986" w:rsidRDefault="0047414E">
      <w:pPr>
        <w:pBdr>
          <w:top w:val="nil"/>
          <w:left w:val="nil"/>
          <w:bottom w:val="nil"/>
          <w:right w:val="nil"/>
          <w:between w:val="nil"/>
        </w:pBdr>
        <w:jc w:val="both"/>
        <w:rPr>
          <w:color w:val="222222"/>
          <w:sz w:val="21"/>
          <w:szCs w:val="21"/>
        </w:rPr>
      </w:pPr>
      <w:r>
        <w:rPr>
          <w:i/>
          <w:color w:val="0000FF"/>
        </w:rPr>
        <w:t xml:space="preserve">Since practical data are typically available as a discrete </w:t>
      </w:r>
      <w:r>
        <w:rPr>
          <w:i/>
          <w:color w:val="0000FF"/>
          <w:u w:val="single"/>
        </w:rPr>
        <w:t>‘</w:t>
      </w:r>
      <w:hyperlink r:id="rId19">
        <w:r>
          <w:rPr>
            <w:i/>
            <w:color w:val="0000FF"/>
            <w:u w:val="single"/>
          </w:rPr>
          <w:t>time series</w:t>
        </w:r>
      </w:hyperlink>
      <w:r>
        <w:rPr>
          <w:i/>
          <w:color w:val="0000FF"/>
          <w:u w:val="single"/>
        </w:rPr>
        <w:t>’</w:t>
      </w:r>
      <w:r>
        <w:rPr>
          <w:i/>
          <w:color w:val="0000FF"/>
        </w:rPr>
        <w:t xml:space="preserve"> of samples, the statistical model is</w:t>
      </w:r>
    </w:p>
    <w:p w14:paraId="49873DC5" w14:textId="77777777" w:rsidR="00BE6986" w:rsidRDefault="0047414E">
      <w:pPr>
        <w:shd w:val="clear" w:color="auto" w:fill="FFFFFF"/>
        <w:spacing w:before="120" w:after="120"/>
        <w:jc w:val="both"/>
        <w:rPr>
          <w:color w:val="222222"/>
          <w:sz w:val="25"/>
          <w:szCs w:val="25"/>
          <w:highlight w:val="white"/>
        </w:rPr>
      </w:pPr>
      <w:r>
        <w:rPr>
          <w:noProof/>
          <w:color w:val="222222"/>
          <w:sz w:val="25"/>
          <w:szCs w:val="25"/>
          <w:highlight w:val="white"/>
        </w:rPr>
        <w:drawing>
          <wp:inline distT="114300" distB="114300" distL="114300" distR="114300" wp14:anchorId="4ADC8C9C" wp14:editId="0A0B2BDE">
            <wp:extent cx="1552575" cy="219075"/>
            <wp:effectExtent l="0" t="0" r="0" b="0"/>
            <wp:docPr id="38"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0"/>
                    <a:srcRect/>
                    <a:stretch>
                      <a:fillRect/>
                    </a:stretch>
                  </pic:blipFill>
                  <pic:spPr>
                    <a:xfrm>
                      <a:off x="0" y="0"/>
                      <a:ext cx="1552575" cy="219075"/>
                    </a:xfrm>
                    <a:prstGeom prst="rect">
                      <a:avLst/>
                    </a:prstGeom>
                    <a:ln/>
                  </pic:spPr>
                </pic:pic>
              </a:graphicData>
            </a:graphic>
          </wp:inline>
        </w:drawing>
      </w:r>
    </w:p>
    <w:p w14:paraId="64599165" w14:textId="77777777" w:rsidR="00BE6986" w:rsidRDefault="0047414E">
      <w:pPr>
        <w:shd w:val="clear" w:color="auto" w:fill="FFFFFF"/>
        <w:spacing w:before="120" w:after="120"/>
        <w:jc w:val="both"/>
        <w:rPr>
          <w:i/>
          <w:color w:val="0000FF"/>
        </w:rPr>
      </w:pPr>
      <w:r>
        <w:rPr>
          <w:i/>
          <w:color w:val="0000FF"/>
        </w:rPr>
        <w:t xml:space="preserve">where </w:t>
      </w:r>
      <w:proofErr w:type="spellStart"/>
      <w:r>
        <w:rPr>
          <w:i/>
          <w:color w:val="0000FF"/>
        </w:rPr>
        <w:t>ε</w:t>
      </w:r>
      <w:r>
        <w:rPr>
          <w:i/>
          <w:color w:val="0000FF"/>
          <w:vertAlign w:val="subscript"/>
        </w:rPr>
        <w:t>t</w:t>
      </w:r>
      <w:proofErr w:type="spellEnd"/>
      <w:r>
        <w:rPr>
          <w:i/>
          <w:color w:val="0000FF"/>
        </w:rPr>
        <w:t xml:space="preserve"> is an error term (the unexplained return). </w:t>
      </w:r>
      <w:r>
        <w:rPr>
          <w:b/>
          <w:i/>
          <w:color w:val="0000FF"/>
        </w:rPr>
        <w:t>The best (in the sense of least squared error) estimates for α and β are those such that Σε</w:t>
      </w:r>
      <w:r>
        <w:rPr>
          <w:b/>
          <w:i/>
          <w:color w:val="0000FF"/>
          <w:vertAlign w:val="subscript"/>
        </w:rPr>
        <w:t>t</w:t>
      </w:r>
      <w:r>
        <w:rPr>
          <w:b/>
          <w:i/>
          <w:color w:val="0000FF"/>
          <w:vertAlign w:val="superscript"/>
        </w:rPr>
        <w:t>2</w:t>
      </w:r>
      <w:r>
        <w:rPr>
          <w:b/>
          <w:i/>
          <w:color w:val="0000FF"/>
        </w:rPr>
        <w:t xml:space="preserve"> is as small as possible</w:t>
      </w:r>
      <w:r>
        <w:rPr>
          <w:i/>
          <w:color w:val="0000FF"/>
        </w:rPr>
        <w:t>.”</w:t>
      </w:r>
      <w:r>
        <w:rPr>
          <w:i/>
          <w:color w:val="0000FF"/>
          <w:vertAlign w:val="superscript"/>
        </w:rPr>
        <w:footnoteReference w:id="4"/>
      </w:r>
    </w:p>
    <w:p w14:paraId="5B2BBFEF" w14:textId="77777777" w:rsidR="00BE6986" w:rsidRDefault="00BE6986">
      <w:pPr>
        <w:jc w:val="both"/>
      </w:pPr>
    </w:p>
    <w:p w14:paraId="386F1169" w14:textId="77777777" w:rsidR="00BE6986" w:rsidRDefault="0047414E">
      <w:pPr>
        <w:jc w:val="both"/>
      </w:pPr>
      <w:r>
        <w:t>That is, as we can see, there is an</w:t>
      </w:r>
      <w:r>
        <w:rPr>
          <w:b/>
        </w:rPr>
        <w:t xml:space="preserve"> alpha</w:t>
      </w:r>
      <w:r>
        <w:rPr>
          <w:b/>
        </w:rPr>
        <w:t xml:space="preserve"> </w:t>
      </w:r>
      <w:r>
        <w:t xml:space="preserve">in the equation as well. This can be </w:t>
      </w:r>
      <w:r>
        <w:rPr>
          <w:b/>
        </w:rPr>
        <w:t>considered as zero in the very short term if there are no events affecting the company</w:t>
      </w:r>
      <w:r>
        <w:t xml:space="preserve"> (e.g. earnings report or product release). But in the </w:t>
      </w:r>
      <w:r>
        <w:rPr>
          <w:b/>
        </w:rPr>
        <w:t>long run</w:t>
      </w:r>
      <w:r>
        <w:t xml:space="preserve"> (weeks, months, years) </w:t>
      </w:r>
      <w:r>
        <w:rPr>
          <w:b/>
        </w:rPr>
        <w:t>this effect must be taken into account</w:t>
      </w:r>
      <w:r>
        <w:t>.</w:t>
      </w:r>
    </w:p>
    <w:p w14:paraId="17FBBDF7" w14:textId="77777777" w:rsidR="00BE6986" w:rsidRDefault="00BE6986">
      <w:pPr>
        <w:jc w:val="both"/>
      </w:pPr>
    </w:p>
    <w:p w14:paraId="2FB377E3" w14:textId="77777777" w:rsidR="00BE6986" w:rsidRDefault="0047414E">
      <w:pPr>
        <w:jc w:val="both"/>
      </w:pPr>
      <w:r>
        <w:t>Furt</w:t>
      </w:r>
      <w:r>
        <w:t xml:space="preserve">hermore, in longer term, the </w:t>
      </w:r>
      <w:r>
        <w:rPr>
          <w:b/>
        </w:rPr>
        <w:t>cumulative effects</w:t>
      </w:r>
      <w:r>
        <w:t xml:space="preserve"> of daily or monthly returns should also be considered.</w:t>
      </w:r>
    </w:p>
    <w:p w14:paraId="130AFA10" w14:textId="77777777" w:rsidR="00BE6986" w:rsidRDefault="00BE6986">
      <w:pPr>
        <w:jc w:val="both"/>
      </w:pPr>
    </w:p>
    <w:p w14:paraId="2727ECF0" w14:textId="77777777" w:rsidR="00BE6986" w:rsidRDefault="0047414E">
      <w:pPr>
        <w:jc w:val="both"/>
        <w:rPr>
          <w:b/>
        </w:rPr>
      </w:pPr>
      <w:r>
        <w:t>Thus, especially when the R</w:t>
      </w:r>
      <w:r>
        <w:rPr>
          <w:vertAlign w:val="superscript"/>
        </w:rPr>
        <w:t xml:space="preserve">2 </w:t>
      </w:r>
      <w:r>
        <w:t>of the regression (the squared value of the correlation as there is only two variables in the equation) is low,</w:t>
      </w:r>
      <w:r>
        <w:rPr>
          <w:b/>
        </w:rPr>
        <w:t xml:space="preserve"> it can easi</w:t>
      </w:r>
      <w:r>
        <w:rPr>
          <w:b/>
        </w:rPr>
        <w:t>ly happen that although the 'daily beta' or the 'monthly beta' of a stock is +1.6, and while the entire market rose by 10% during the last year, the price of the stock fell -20%. This is a surprise knowing that the 'daily beta' was positive, but it can eas</w:t>
      </w:r>
      <w:r>
        <w:rPr>
          <w:b/>
        </w:rPr>
        <w:t>ily be true.</w:t>
      </w:r>
    </w:p>
    <w:p w14:paraId="41B984B6" w14:textId="77777777" w:rsidR="00BE6986" w:rsidRDefault="00BE6986">
      <w:pPr>
        <w:jc w:val="both"/>
      </w:pPr>
    </w:p>
    <w:p w14:paraId="05250593" w14:textId="77777777" w:rsidR="00BE6986" w:rsidRDefault="0047414E">
      <w:pPr>
        <w:jc w:val="both"/>
      </w:pPr>
      <w:r>
        <w:t>Last but not least, it is worth emphasizing that “</w:t>
      </w:r>
      <w:r>
        <w:rPr>
          <w:b/>
          <w:i/>
          <w:color w:val="0000FF"/>
        </w:rPr>
        <w:t>past price movement is a poor predictor of the future.</w:t>
      </w:r>
      <w:r>
        <w:rPr>
          <w:i/>
          <w:color w:val="0000FF"/>
        </w:rPr>
        <w:t xml:space="preserve"> Betas are merely rear-view mirrors, reflecting very little of what lies ahead. Furthermore, </w:t>
      </w:r>
      <w:r>
        <w:rPr>
          <w:b/>
          <w:i/>
          <w:color w:val="0000FF"/>
        </w:rPr>
        <w:t>the beta measure on a single stock tends to f</w:t>
      </w:r>
      <w:r>
        <w:rPr>
          <w:b/>
          <w:i/>
          <w:color w:val="0000FF"/>
        </w:rPr>
        <w:t>lip around over time, which makes it unreliable</w:t>
      </w:r>
      <w:r>
        <w:rPr>
          <w:i/>
          <w:color w:val="0000FF"/>
        </w:rPr>
        <w:t xml:space="preserve">. Granted, for traders looking to </w:t>
      </w:r>
      <w:r>
        <w:rPr>
          <w:b/>
          <w:i/>
          <w:color w:val="0000FF"/>
        </w:rPr>
        <w:t>buy and sell stocks within short time periods, beta is a fairly good risk metric</w:t>
      </w:r>
      <w:r>
        <w:rPr>
          <w:i/>
          <w:color w:val="0000FF"/>
        </w:rPr>
        <w:t xml:space="preserve">. However, for investors with </w:t>
      </w:r>
      <w:r>
        <w:rPr>
          <w:b/>
          <w:i/>
          <w:color w:val="0000FF"/>
        </w:rPr>
        <w:t>long-term horizons, it's less useful.</w:t>
      </w:r>
      <w:r>
        <w:rPr>
          <w:i/>
          <w:color w:val="0000FF"/>
        </w:rPr>
        <w:t>”</w:t>
      </w:r>
      <w:r>
        <w:rPr>
          <w:i/>
          <w:color w:val="0000FF"/>
          <w:vertAlign w:val="superscript"/>
        </w:rPr>
        <w:footnoteReference w:id="5"/>
      </w:r>
    </w:p>
    <w:p w14:paraId="78538881" w14:textId="77777777" w:rsidR="00BE6986" w:rsidRDefault="00BE6986">
      <w:pPr>
        <w:shd w:val="clear" w:color="auto" w:fill="FFFFFF"/>
        <w:spacing w:before="120" w:after="120"/>
        <w:jc w:val="both"/>
        <w:rPr>
          <w:i/>
          <w:color w:val="0000FF"/>
        </w:rPr>
      </w:pPr>
    </w:p>
    <w:p w14:paraId="37A8AE3B" w14:textId="77777777" w:rsidR="00BE6986" w:rsidRDefault="0047414E">
      <w:pPr>
        <w:jc w:val="both"/>
        <w:rPr>
          <w:color w:val="FF0000"/>
          <w:sz w:val="28"/>
          <w:szCs w:val="28"/>
        </w:rPr>
      </w:pPr>
      <w:r>
        <w:br w:type="page"/>
      </w:r>
    </w:p>
    <w:p w14:paraId="5D30E087" w14:textId="77777777" w:rsidR="00BE6986" w:rsidRDefault="0047414E">
      <w:pPr>
        <w:pStyle w:val="Heading2"/>
        <w:pBdr>
          <w:top w:val="nil"/>
          <w:left w:val="nil"/>
          <w:bottom w:val="nil"/>
          <w:right w:val="nil"/>
          <w:between w:val="nil"/>
        </w:pBdr>
        <w:jc w:val="both"/>
        <w:rPr>
          <w:rFonts w:ascii="Arial" w:eastAsia="Arial" w:hAnsi="Arial" w:cs="Arial"/>
          <w:color w:val="FF0000"/>
          <w:sz w:val="28"/>
          <w:szCs w:val="28"/>
        </w:rPr>
      </w:pPr>
      <w:bookmarkStart w:id="6" w:name="_cv3af0ogy0st" w:colFirst="0" w:colLast="0"/>
      <w:bookmarkEnd w:id="6"/>
      <w:r>
        <w:rPr>
          <w:rFonts w:ascii="Arial" w:eastAsia="Arial" w:hAnsi="Arial" w:cs="Arial"/>
          <w:color w:val="FF0000"/>
          <w:sz w:val="28"/>
          <w:szCs w:val="28"/>
        </w:rPr>
        <w:lastRenderedPageBreak/>
        <w:t>Optimal Return Interval and Length of Lookback Period</w:t>
      </w:r>
    </w:p>
    <w:p w14:paraId="372285BE" w14:textId="77777777" w:rsidR="00BE6986" w:rsidRDefault="00BE6986"/>
    <w:p w14:paraId="427196AD" w14:textId="77777777" w:rsidR="00BE6986" w:rsidRDefault="0047414E">
      <w:pPr>
        <w:jc w:val="both"/>
      </w:pPr>
      <w:r>
        <w:t xml:space="preserve">Attentive readers might notice that </w:t>
      </w:r>
      <w:r>
        <w:rPr>
          <w:b/>
        </w:rPr>
        <w:t>neither the return interval, data sampling frequency (daily, weekly, monthly, yearly) nor the length of the lookback period (x-day, -month or -</w:t>
      </w:r>
      <w:proofErr w:type="gramStart"/>
      <w:r>
        <w:rPr>
          <w:b/>
        </w:rPr>
        <w:t>year )</w:t>
      </w:r>
      <w:proofErr w:type="gramEnd"/>
      <w:r>
        <w:rPr>
          <w:b/>
        </w:rPr>
        <w:t xml:space="preserve"> is clearly defi</w:t>
      </w:r>
      <w:r>
        <w:rPr>
          <w:b/>
        </w:rPr>
        <w:t>ned in the above cited definition of beta</w:t>
      </w:r>
      <w:r>
        <w:t xml:space="preserve">. This is not surprising as there is </w:t>
      </w:r>
      <w:r>
        <w:rPr>
          <w:b/>
        </w:rPr>
        <w:t>no generally accepted rule</w:t>
      </w:r>
      <w:r>
        <w:t xml:space="preserve"> on this issue. However, as it will be seen, this is the </w:t>
      </w:r>
      <w:r>
        <w:rPr>
          <w:b/>
        </w:rPr>
        <w:t>alpha and omega of the whole subject</w:t>
      </w:r>
      <w:r>
        <w:t xml:space="preserve"> and there is </w:t>
      </w:r>
      <w:r>
        <w:rPr>
          <w:b/>
        </w:rPr>
        <w:t>no generally optimal choice</w:t>
      </w:r>
      <w:r>
        <w:t>. For example, Yah</w:t>
      </w:r>
      <w:r>
        <w:t>oo Finance shows beta using monthly return interval with 3 years lookback period. It might be a good choice for “</w:t>
      </w:r>
      <w:proofErr w:type="spellStart"/>
      <w:r>
        <w:t>Buy&amp;Hold</w:t>
      </w:r>
      <w:proofErr w:type="spellEnd"/>
      <w:r>
        <w:t xml:space="preserve">” traders who are long-term thinking about a given stock. Nevertheless, the situation is quite different for daily traders, whose best </w:t>
      </w:r>
      <w:r>
        <w:t>choice could be daily (or even intraday) returns with short term lookback period.</w:t>
      </w:r>
    </w:p>
    <w:p w14:paraId="1AAE3DB9" w14:textId="77777777" w:rsidR="00BE6986" w:rsidRDefault="00BE6986">
      <w:pPr>
        <w:jc w:val="both"/>
      </w:pPr>
    </w:p>
    <w:p w14:paraId="298291A3" w14:textId="77777777" w:rsidR="00BE6986" w:rsidRDefault="0047414E">
      <w:pPr>
        <w:jc w:val="both"/>
      </w:pPr>
      <w:r>
        <w:t xml:space="preserve">In the following, some </w:t>
      </w:r>
      <w:r>
        <w:rPr>
          <w:b/>
        </w:rPr>
        <w:t>research results from the literature</w:t>
      </w:r>
      <w:r>
        <w:t xml:space="preserve"> of this subject will be presented.</w:t>
      </w:r>
    </w:p>
    <w:p w14:paraId="1119F33C" w14:textId="77777777" w:rsidR="00BE6986" w:rsidRDefault="00BE6986">
      <w:pPr>
        <w:jc w:val="both"/>
      </w:pPr>
    </w:p>
    <w:p w14:paraId="2B94F02F" w14:textId="77777777" w:rsidR="00BE6986" w:rsidRDefault="00BE6986">
      <w:pPr>
        <w:jc w:val="both"/>
      </w:pPr>
    </w:p>
    <w:p w14:paraId="0BCEF512" w14:textId="77777777" w:rsidR="00BE6986" w:rsidRDefault="0047414E">
      <w:pPr>
        <w:jc w:val="both"/>
        <w:rPr>
          <w:i/>
          <w:color w:val="38761D"/>
          <w:sz w:val="24"/>
          <w:szCs w:val="24"/>
        </w:rPr>
      </w:pPr>
      <w:r>
        <w:rPr>
          <w:i/>
          <w:color w:val="38761D"/>
          <w:sz w:val="24"/>
          <w:szCs w:val="24"/>
        </w:rPr>
        <w:t xml:space="preserve">Estimating Systematic Risk: The Choice </w:t>
      </w:r>
      <w:proofErr w:type="gramStart"/>
      <w:r>
        <w:rPr>
          <w:i/>
          <w:color w:val="38761D"/>
          <w:sz w:val="24"/>
          <w:szCs w:val="24"/>
        </w:rPr>
        <w:t>Of</w:t>
      </w:r>
      <w:proofErr w:type="gramEnd"/>
      <w:r>
        <w:rPr>
          <w:i/>
          <w:color w:val="38761D"/>
          <w:sz w:val="24"/>
          <w:szCs w:val="24"/>
        </w:rPr>
        <w:t xml:space="preserve"> Return Interval And Estimation Per</w:t>
      </w:r>
      <w:r>
        <w:rPr>
          <w:i/>
          <w:color w:val="38761D"/>
          <w:sz w:val="24"/>
          <w:szCs w:val="24"/>
        </w:rPr>
        <w:t>iod</w:t>
      </w:r>
      <w:r>
        <w:rPr>
          <w:i/>
          <w:color w:val="38761D"/>
          <w:sz w:val="24"/>
          <w:szCs w:val="24"/>
          <w:vertAlign w:val="superscript"/>
        </w:rPr>
        <w:footnoteReference w:id="6"/>
      </w:r>
    </w:p>
    <w:p w14:paraId="1D9C7DA5" w14:textId="77777777" w:rsidR="00BE6986" w:rsidRDefault="0047414E">
      <w:pPr>
        <w:jc w:val="both"/>
        <w:rPr>
          <w:i/>
          <w:color w:val="38761D"/>
          <w:sz w:val="24"/>
          <w:szCs w:val="24"/>
        </w:rPr>
      </w:pPr>
      <w:r>
        <w:rPr>
          <w:i/>
          <w:color w:val="38761D"/>
          <w:sz w:val="24"/>
          <w:szCs w:val="24"/>
        </w:rPr>
        <w:t xml:space="preserve">(Phillip R. </w:t>
      </w:r>
      <w:proofErr w:type="spellStart"/>
      <w:r>
        <w:rPr>
          <w:i/>
          <w:color w:val="38761D"/>
          <w:sz w:val="24"/>
          <w:szCs w:val="24"/>
        </w:rPr>
        <w:t>Daves</w:t>
      </w:r>
      <w:proofErr w:type="spellEnd"/>
      <w:r>
        <w:rPr>
          <w:i/>
          <w:color w:val="38761D"/>
          <w:sz w:val="24"/>
          <w:szCs w:val="24"/>
        </w:rPr>
        <w:t>, Michael C. Ehrhardt and Robert A. Kunkel)</w:t>
      </w:r>
    </w:p>
    <w:p w14:paraId="178CEF12" w14:textId="77777777" w:rsidR="00BE6986" w:rsidRDefault="00BE6986">
      <w:pPr>
        <w:jc w:val="both"/>
        <w:rPr>
          <w:b/>
          <w:i/>
          <w:color w:val="0000FF"/>
        </w:rPr>
      </w:pPr>
    </w:p>
    <w:p w14:paraId="14BC4DFF" w14:textId="77777777" w:rsidR="00BE6986" w:rsidRDefault="0047414E">
      <w:pPr>
        <w:jc w:val="both"/>
        <w:rPr>
          <w:i/>
          <w:color w:val="38761D"/>
          <w:sz w:val="24"/>
          <w:szCs w:val="24"/>
        </w:rPr>
      </w:pPr>
      <w:r>
        <w:rPr>
          <w:i/>
          <w:color w:val="0000FF"/>
        </w:rPr>
        <w:t xml:space="preserve">“Financial managers can estimate the cost of equity via the CAPM approach. If the financial manager estimates the firm’s beta via regression analysis, then the financial manager </w:t>
      </w:r>
      <w:r>
        <w:rPr>
          <w:b/>
          <w:i/>
          <w:color w:val="0000FF"/>
        </w:rPr>
        <w:t>must selec</w:t>
      </w:r>
      <w:r>
        <w:rPr>
          <w:b/>
          <w:i/>
          <w:color w:val="0000FF"/>
        </w:rPr>
        <w:t>t both the return interval and the estimation period</w:t>
      </w:r>
      <w:r>
        <w:rPr>
          <w:i/>
          <w:color w:val="0000FF"/>
        </w:rPr>
        <w:t xml:space="preserve">. Regarding return interval, this study finds that the </w:t>
      </w:r>
      <w:r>
        <w:rPr>
          <w:b/>
          <w:i/>
          <w:color w:val="0000FF"/>
        </w:rPr>
        <w:t>financial manager should always select daily returns</w:t>
      </w:r>
      <w:r>
        <w:rPr>
          <w:i/>
          <w:color w:val="0000FF"/>
        </w:rPr>
        <w:t xml:space="preserve"> because daily returns result in the smallest standard error of beta or greatest precision of the</w:t>
      </w:r>
      <w:r>
        <w:rPr>
          <w:i/>
          <w:color w:val="0000FF"/>
        </w:rPr>
        <w:t xml:space="preserve"> beta estimate.</w:t>
      </w:r>
      <w:r>
        <w:rPr>
          <w:i/>
          <w:color w:val="0000FF"/>
        </w:rPr>
        <w:br/>
        <w:t xml:space="preserve">However, regarding estimation period, the financial manager faces a dilemma. While </w:t>
      </w:r>
      <w:r>
        <w:rPr>
          <w:b/>
          <w:i/>
          <w:color w:val="0000FF"/>
        </w:rPr>
        <w:t xml:space="preserve">a longer estimation period results in a tighter standard error for the estimate of beta, a longer estimation period also results in a higher likelihood that </w:t>
      </w:r>
      <w:r>
        <w:rPr>
          <w:b/>
          <w:i/>
          <w:color w:val="0000FF"/>
        </w:rPr>
        <w:t>there will be a significant change in the beta</w:t>
      </w:r>
      <w:r>
        <w:rPr>
          <w:i/>
          <w:color w:val="0000FF"/>
        </w:rPr>
        <w:t xml:space="preserve">. Thus, the beta estimated over longer estimation periods is more likely to be biased and of little use to the financial manager. The results show that an </w:t>
      </w:r>
      <w:r>
        <w:rPr>
          <w:b/>
          <w:i/>
          <w:color w:val="0000FF"/>
        </w:rPr>
        <w:t>estimation period of three years captures most of the m</w:t>
      </w:r>
      <w:r>
        <w:rPr>
          <w:b/>
          <w:i/>
          <w:color w:val="0000FF"/>
        </w:rPr>
        <w:t>aximum reduction in the standard error of the estimated beta from a one-year estimation period to an eight-year estimation period.</w:t>
      </w:r>
      <w:r>
        <w:rPr>
          <w:i/>
          <w:color w:val="0000FF"/>
        </w:rPr>
        <w:t xml:space="preserve"> Additionally, less than fifty percent of the firms experience a significant shift in beta over a three-year </w:t>
      </w:r>
      <w:proofErr w:type="gramStart"/>
      <w:r>
        <w:rPr>
          <w:i/>
          <w:color w:val="0000FF"/>
        </w:rPr>
        <w:t>period.“</w:t>
      </w:r>
      <w:proofErr w:type="gramEnd"/>
    </w:p>
    <w:p w14:paraId="1708FBEB" w14:textId="77777777" w:rsidR="00BE6986" w:rsidRDefault="00BE6986"/>
    <w:p w14:paraId="4EB51666" w14:textId="77777777" w:rsidR="00BE6986" w:rsidRDefault="00BE6986"/>
    <w:p w14:paraId="14293175" w14:textId="77777777" w:rsidR="00BE6986" w:rsidRDefault="00BE6986"/>
    <w:p w14:paraId="0B5B0649" w14:textId="77777777" w:rsidR="00BE6986" w:rsidRDefault="0047414E">
      <w:pPr>
        <w:jc w:val="both"/>
        <w:rPr>
          <w:i/>
          <w:color w:val="38761D"/>
          <w:sz w:val="24"/>
          <w:szCs w:val="24"/>
        </w:rPr>
      </w:pPr>
      <w:r>
        <w:rPr>
          <w:i/>
          <w:color w:val="38761D"/>
          <w:sz w:val="24"/>
          <w:szCs w:val="24"/>
        </w:rPr>
        <w:t>How to Estimate Beta?</w:t>
      </w:r>
      <w:r>
        <w:rPr>
          <w:i/>
          <w:color w:val="38761D"/>
          <w:sz w:val="24"/>
          <w:szCs w:val="24"/>
          <w:vertAlign w:val="superscript"/>
        </w:rPr>
        <w:footnoteReference w:id="7"/>
      </w:r>
    </w:p>
    <w:p w14:paraId="3E0CDB83" w14:textId="77777777" w:rsidR="00BE6986" w:rsidRDefault="0047414E">
      <w:pPr>
        <w:jc w:val="both"/>
        <w:rPr>
          <w:i/>
          <w:color w:val="38761D"/>
          <w:sz w:val="24"/>
          <w:szCs w:val="24"/>
        </w:rPr>
      </w:pPr>
      <w:r>
        <w:rPr>
          <w:i/>
          <w:color w:val="38761D"/>
          <w:sz w:val="24"/>
          <w:szCs w:val="24"/>
        </w:rPr>
        <w:t xml:space="preserve">(Fabian </w:t>
      </w:r>
      <w:proofErr w:type="spellStart"/>
      <w:r>
        <w:rPr>
          <w:i/>
          <w:color w:val="38761D"/>
          <w:sz w:val="24"/>
          <w:szCs w:val="24"/>
        </w:rPr>
        <w:t>Hollstein</w:t>
      </w:r>
      <w:proofErr w:type="spellEnd"/>
      <w:r>
        <w:rPr>
          <w:i/>
          <w:color w:val="38761D"/>
          <w:sz w:val="24"/>
          <w:szCs w:val="24"/>
        </w:rPr>
        <w:t xml:space="preserve">, Marcel </w:t>
      </w:r>
      <w:proofErr w:type="spellStart"/>
      <w:r>
        <w:rPr>
          <w:i/>
          <w:color w:val="38761D"/>
          <w:sz w:val="24"/>
          <w:szCs w:val="24"/>
        </w:rPr>
        <w:t>Prokopczuk</w:t>
      </w:r>
      <w:proofErr w:type="spellEnd"/>
      <w:r>
        <w:rPr>
          <w:i/>
          <w:color w:val="38761D"/>
          <w:sz w:val="24"/>
          <w:szCs w:val="24"/>
        </w:rPr>
        <w:t xml:space="preserve"> and Chardin </w:t>
      </w:r>
      <w:proofErr w:type="spellStart"/>
      <w:r>
        <w:rPr>
          <w:i/>
          <w:color w:val="38761D"/>
          <w:sz w:val="24"/>
          <w:szCs w:val="24"/>
        </w:rPr>
        <w:t>Wese</w:t>
      </w:r>
      <w:proofErr w:type="spellEnd"/>
      <w:r>
        <w:rPr>
          <w:i/>
          <w:color w:val="38761D"/>
          <w:sz w:val="24"/>
          <w:szCs w:val="24"/>
        </w:rPr>
        <w:t xml:space="preserve"> </w:t>
      </w:r>
      <w:proofErr w:type="spellStart"/>
      <w:r>
        <w:rPr>
          <w:i/>
          <w:color w:val="38761D"/>
          <w:sz w:val="24"/>
          <w:szCs w:val="24"/>
        </w:rPr>
        <w:t>Simen</w:t>
      </w:r>
      <w:proofErr w:type="spellEnd"/>
      <w:r>
        <w:rPr>
          <w:i/>
          <w:color w:val="38761D"/>
          <w:sz w:val="24"/>
          <w:szCs w:val="24"/>
        </w:rPr>
        <w:t>)</w:t>
      </w:r>
    </w:p>
    <w:p w14:paraId="0E4E04E3" w14:textId="77777777" w:rsidR="00BE6986" w:rsidRDefault="00BE6986">
      <w:pPr>
        <w:jc w:val="both"/>
        <w:rPr>
          <w:b/>
          <w:i/>
          <w:color w:val="0000FF"/>
        </w:rPr>
      </w:pPr>
    </w:p>
    <w:p w14:paraId="621E3933" w14:textId="77777777" w:rsidR="00BE6986" w:rsidRDefault="0047414E">
      <w:pPr>
        <w:jc w:val="both"/>
        <w:rPr>
          <w:i/>
          <w:color w:val="0000FF"/>
        </w:rPr>
      </w:pPr>
      <w:r>
        <w:rPr>
          <w:i/>
          <w:color w:val="0000FF"/>
        </w:rPr>
        <w:t>“Researchers and practitioners face many choices when estimating an asset’s sensitivities toward risk factors, i.e., betas. We study the effect of different data sampling</w:t>
      </w:r>
      <w:r>
        <w:rPr>
          <w:i/>
          <w:color w:val="0000FF"/>
        </w:rPr>
        <w:t xml:space="preserve"> frequencies, forecast adjustments, and model combinations for beta estimation. Using the entire U.S. stock universe and a sample period of more than 50 years, we find that… </w:t>
      </w:r>
      <w:r>
        <w:rPr>
          <w:b/>
          <w:i/>
          <w:color w:val="0000FF"/>
        </w:rPr>
        <w:t xml:space="preserve">using daily data over a 12-month horizon generally yields lower prediction errors </w:t>
      </w:r>
      <w:r>
        <w:rPr>
          <w:b/>
          <w:i/>
          <w:color w:val="0000FF"/>
        </w:rPr>
        <w:t>than alternative historical windows and estimators based on low-frequency data.</w:t>
      </w:r>
      <w:r>
        <w:rPr>
          <w:i/>
          <w:color w:val="0000FF"/>
        </w:rPr>
        <w:t>”</w:t>
      </w:r>
    </w:p>
    <w:p w14:paraId="3C855755" w14:textId="77777777" w:rsidR="00BE6986" w:rsidRDefault="00BE6986">
      <w:pPr>
        <w:jc w:val="both"/>
        <w:rPr>
          <w:i/>
          <w:color w:val="0000FF"/>
        </w:rPr>
      </w:pPr>
    </w:p>
    <w:p w14:paraId="627430BE" w14:textId="77777777" w:rsidR="00BE6986" w:rsidRDefault="00BE6986">
      <w:pPr>
        <w:jc w:val="both"/>
        <w:rPr>
          <w:i/>
          <w:color w:val="38761D"/>
          <w:sz w:val="24"/>
          <w:szCs w:val="24"/>
        </w:rPr>
      </w:pPr>
    </w:p>
    <w:p w14:paraId="1E7ED333" w14:textId="77777777" w:rsidR="00BE6986" w:rsidRDefault="00BE6986">
      <w:pPr>
        <w:jc w:val="both"/>
        <w:rPr>
          <w:i/>
          <w:color w:val="38761D"/>
          <w:sz w:val="24"/>
          <w:szCs w:val="24"/>
        </w:rPr>
      </w:pPr>
    </w:p>
    <w:p w14:paraId="02790DC5" w14:textId="77777777" w:rsidR="00BE6986" w:rsidRDefault="0047414E">
      <w:pPr>
        <w:jc w:val="both"/>
        <w:rPr>
          <w:i/>
          <w:color w:val="38761D"/>
          <w:sz w:val="24"/>
          <w:szCs w:val="24"/>
        </w:rPr>
      </w:pPr>
      <w:r>
        <w:br w:type="page"/>
      </w:r>
    </w:p>
    <w:p w14:paraId="7911E18E" w14:textId="77777777" w:rsidR="00BE6986" w:rsidRDefault="0047414E">
      <w:pPr>
        <w:jc w:val="both"/>
        <w:rPr>
          <w:i/>
          <w:color w:val="38761D"/>
          <w:sz w:val="24"/>
          <w:szCs w:val="24"/>
        </w:rPr>
      </w:pPr>
      <w:r>
        <w:rPr>
          <w:i/>
          <w:color w:val="38761D"/>
          <w:sz w:val="24"/>
          <w:szCs w:val="24"/>
        </w:rPr>
        <w:lastRenderedPageBreak/>
        <w:t>Monthly Beta Forecasting with Low, Medium and High Frequency Stock Returns</w:t>
      </w:r>
      <w:r>
        <w:rPr>
          <w:i/>
          <w:color w:val="38761D"/>
          <w:sz w:val="24"/>
          <w:szCs w:val="24"/>
          <w:vertAlign w:val="superscript"/>
        </w:rPr>
        <w:footnoteReference w:id="8"/>
      </w:r>
    </w:p>
    <w:p w14:paraId="3E06FE1F" w14:textId="77777777" w:rsidR="00BE6986" w:rsidRDefault="0047414E">
      <w:pPr>
        <w:jc w:val="both"/>
        <w:rPr>
          <w:i/>
          <w:color w:val="38761D"/>
          <w:sz w:val="24"/>
          <w:szCs w:val="24"/>
        </w:rPr>
      </w:pPr>
      <w:r>
        <w:rPr>
          <w:i/>
          <w:color w:val="38761D"/>
          <w:sz w:val="24"/>
          <w:szCs w:val="24"/>
        </w:rPr>
        <w:t>(</w:t>
      </w:r>
      <w:proofErr w:type="spellStart"/>
      <w:r>
        <w:rPr>
          <w:i/>
          <w:color w:val="38761D"/>
          <w:sz w:val="24"/>
          <w:szCs w:val="24"/>
        </w:rPr>
        <w:t>Tolga</w:t>
      </w:r>
      <w:proofErr w:type="spellEnd"/>
      <w:r>
        <w:rPr>
          <w:i/>
          <w:color w:val="38761D"/>
          <w:sz w:val="24"/>
          <w:szCs w:val="24"/>
        </w:rPr>
        <w:t xml:space="preserve"> </w:t>
      </w:r>
      <w:proofErr w:type="spellStart"/>
      <w:r>
        <w:rPr>
          <w:i/>
          <w:color w:val="38761D"/>
          <w:sz w:val="24"/>
          <w:szCs w:val="24"/>
        </w:rPr>
        <w:t>Cenesizoglu</w:t>
      </w:r>
      <w:proofErr w:type="spellEnd"/>
      <w:r>
        <w:rPr>
          <w:i/>
          <w:color w:val="38761D"/>
          <w:sz w:val="24"/>
          <w:szCs w:val="24"/>
        </w:rPr>
        <w:t xml:space="preserve">, </w:t>
      </w:r>
      <w:proofErr w:type="spellStart"/>
      <w:r>
        <w:rPr>
          <w:i/>
          <w:color w:val="38761D"/>
          <w:sz w:val="24"/>
          <w:szCs w:val="24"/>
        </w:rPr>
        <w:t>Qianqiu</w:t>
      </w:r>
      <w:proofErr w:type="spellEnd"/>
      <w:r>
        <w:rPr>
          <w:i/>
          <w:color w:val="38761D"/>
          <w:sz w:val="24"/>
          <w:szCs w:val="24"/>
        </w:rPr>
        <w:t xml:space="preserve"> Liu, Jonathan J. Reeves and Haifeng Wu)</w:t>
      </w:r>
    </w:p>
    <w:p w14:paraId="2D4FCDA5" w14:textId="77777777" w:rsidR="00BE6986" w:rsidRDefault="00BE6986">
      <w:pPr>
        <w:jc w:val="both"/>
        <w:rPr>
          <w:b/>
          <w:i/>
          <w:color w:val="0000FF"/>
        </w:rPr>
      </w:pPr>
    </w:p>
    <w:p w14:paraId="6990F95F" w14:textId="77777777" w:rsidR="00BE6986" w:rsidRDefault="0047414E">
      <w:pPr>
        <w:jc w:val="both"/>
        <w:rPr>
          <w:b/>
          <w:i/>
          <w:color w:val="0000FF"/>
        </w:rPr>
      </w:pPr>
      <w:r>
        <w:rPr>
          <w:i/>
          <w:color w:val="0000FF"/>
        </w:rPr>
        <w:t xml:space="preserve">“Generating </w:t>
      </w:r>
      <w:r>
        <w:rPr>
          <w:b/>
          <w:i/>
          <w:color w:val="0000FF"/>
        </w:rPr>
        <w:t>one-month-ahead systematic (beta) risk forecasts</w:t>
      </w:r>
      <w:r>
        <w:rPr>
          <w:i/>
          <w:color w:val="0000FF"/>
        </w:rPr>
        <w:t xml:space="preserve"> is common place in financial management. This paper evaluates the accuracy of these beta forecasts in three return measurement</w:t>
      </w:r>
      <w:r>
        <w:rPr>
          <w:i/>
          <w:color w:val="0000FF"/>
        </w:rPr>
        <w:t xml:space="preserve"> settings; monthly, daily and 30 minutes. It is found that the popular </w:t>
      </w:r>
      <w:proofErr w:type="spellStart"/>
      <w:r>
        <w:rPr>
          <w:i/>
          <w:color w:val="0000FF"/>
        </w:rPr>
        <w:t>Fama-MacBeth</w:t>
      </w:r>
      <w:proofErr w:type="spellEnd"/>
      <w:r>
        <w:rPr>
          <w:i/>
          <w:color w:val="0000FF"/>
        </w:rPr>
        <w:t xml:space="preserve"> </w:t>
      </w:r>
      <w:r>
        <w:rPr>
          <w:b/>
          <w:i/>
          <w:color w:val="0000FF"/>
        </w:rPr>
        <w:t>beta from 5 years of monthly returns</w:t>
      </w:r>
      <w:r>
        <w:rPr>
          <w:i/>
          <w:color w:val="0000FF"/>
        </w:rPr>
        <w:t xml:space="preserve"> generates the most accurate beta forecast among estimators based on monthly returns. A realized beta estimator from </w:t>
      </w:r>
      <w:r>
        <w:rPr>
          <w:b/>
          <w:i/>
          <w:color w:val="0000FF"/>
        </w:rPr>
        <w:t xml:space="preserve">daily returns over </w:t>
      </w:r>
      <w:r>
        <w:rPr>
          <w:b/>
          <w:i/>
          <w:color w:val="0000FF"/>
        </w:rPr>
        <w:t>the prior year</w:t>
      </w:r>
      <w:r>
        <w:rPr>
          <w:i/>
          <w:color w:val="0000FF"/>
        </w:rPr>
        <w:t xml:space="preserve">, generates the most accurate beta forecast among estimators based on daily returns. A realized beta estimator from </w:t>
      </w:r>
      <w:proofErr w:type="gramStart"/>
      <w:r>
        <w:rPr>
          <w:b/>
          <w:i/>
          <w:color w:val="0000FF"/>
        </w:rPr>
        <w:t>30 minute</w:t>
      </w:r>
      <w:proofErr w:type="gramEnd"/>
      <w:r>
        <w:rPr>
          <w:b/>
          <w:i/>
          <w:color w:val="0000FF"/>
        </w:rPr>
        <w:t xml:space="preserve"> returns over the prior 2 months</w:t>
      </w:r>
      <w:r>
        <w:rPr>
          <w:i/>
          <w:color w:val="0000FF"/>
        </w:rPr>
        <w:t>, generates the most accurate beta forecast among estimators based on 30 minute retur</w:t>
      </w:r>
      <w:r>
        <w:rPr>
          <w:i/>
          <w:color w:val="0000FF"/>
        </w:rPr>
        <w:t>ns.</w:t>
      </w:r>
      <w:r>
        <w:rPr>
          <w:b/>
          <w:i/>
          <w:color w:val="0000FF"/>
        </w:rPr>
        <w:t xml:space="preserve"> In environments where low, medium and high frequency returns are accurately available, beta forecasting with low frequency returns are the least accurate and beta forecasting with high frequency returns are the most accurate.”</w:t>
      </w:r>
    </w:p>
    <w:p w14:paraId="79BBA7D2" w14:textId="77777777" w:rsidR="00BE6986" w:rsidRDefault="00BE6986">
      <w:pPr>
        <w:jc w:val="both"/>
        <w:rPr>
          <w:b/>
          <w:i/>
          <w:color w:val="0000FF"/>
        </w:rPr>
      </w:pPr>
    </w:p>
    <w:p w14:paraId="2F221C3A" w14:textId="77777777" w:rsidR="00BE6986" w:rsidRDefault="00BE6986">
      <w:pPr>
        <w:jc w:val="both"/>
        <w:rPr>
          <w:i/>
          <w:color w:val="38761D"/>
          <w:sz w:val="24"/>
          <w:szCs w:val="24"/>
        </w:rPr>
      </w:pPr>
    </w:p>
    <w:p w14:paraId="4AA19724" w14:textId="77777777" w:rsidR="00BE6986" w:rsidRDefault="00BE6986">
      <w:pPr>
        <w:jc w:val="both"/>
        <w:rPr>
          <w:i/>
          <w:color w:val="38761D"/>
          <w:sz w:val="24"/>
          <w:szCs w:val="24"/>
        </w:rPr>
      </w:pPr>
    </w:p>
    <w:p w14:paraId="34301127" w14:textId="77777777" w:rsidR="00BE6986" w:rsidRDefault="0047414E">
      <w:pPr>
        <w:jc w:val="both"/>
        <w:rPr>
          <w:i/>
          <w:color w:val="38761D"/>
          <w:sz w:val="24"/>
          <w:szCs w:val="24"/>
        </w:rPr>
      </w:pPr>
      <w:r>
        <w:rPr>
          <w:i/>
          <w:color w:val="38761D"/>
          <w:sz w:val="24"/>
          <w:szCs w:val="24"/>
        </w:rPr>
        <w:t>Why Beta Shifts as the</w:t>
      </w:r>
      <w:r>
        <w:rPr>
          <w:i/>
          <w:color w:val="38761D"/>
          <w:sz w:val="24"/>
          <w:szCs w:val="24"/>
        </w:rPr>
        <w:t xml:space="preserve"> Return Interval Changes</w:t>
      </w:r>
      <w:r>
        <w:rPr>
          <w:i/>
          <w:color w:val="38761D"/>
          <w:sz w:val="24"/>
          <w:szCs w:val="24"/>
          <w:vertAlign w:val="superscript"/>
        </w:rPr>
        <w:footnoteReference w:id="9"/>
      </w:r>
    </w:p>
    <w:p w14:paraId="330ECD2D" w14:textId="77777777" w:rsidR="00BE6986" w:rsidRDefault="0047414E">
      <w:pPr>
        <w:jc w:val="both"/>
        <w:rPr>
          <w:i/>
          <w:color w:val="38761D"/>
          <w:sz w:val="24"/>
          <w:szCs w:val="24"/>
        </w:rPr>
      </w:pPr>
      <w:r>
        <w:rPr>
          <w:i/>
          <w:color w:val="38761D"/>
          <w:sz w:val="24"/>
          <w:szCs w:val="24"/>
        </w:rPr>
        <w:t xml:space="preserve">(Gabriel </w:t>
      </w:r>
      <w:proofErr w:type="spellStart"/>
      <w:r>
        <w:rPr>
          <w:i/>
          <w:color w:val="38761D"/>
          <w:sz w:val="24"/>
          <w:szCs w:val="24"/>
        </w:rPr>
        <w:t>Hawawini</w:t>
      </w:r>
      <w:proofErr w:type="spellEnd"/>
      <w:r>
        <w:rPr>
          <w:i/>
          <w:color w:val="38761D"/>
          <w:sz w:val="24"/>
          <w:szCs w:val="24"/>
        </w:rPr>
        <w:t>)</w:t>
      </w:r>
    </w:p>
    <w:p w14:paraId="59E2002D" w14:textId="77777777" w:rsidR="00BE6986" w:rsidRDefault="00BE6986">
      <w:pPr>
        <w:jc w:val="both"/>
        <w:rPr>
          <w:b/>
          <w:i/>
          <w:color w:val="0000FF"/>
        </w:rPr>
      </w:pPr>
    </w:p>
    <w:p w14:paraId="4E2DAD77" w14:textId="77777777" w:rsidR="00BE6986" w:rsidRDefault="0047414E">
      <w:pPr>
        <w:jc w:val="both"/>
        <w:rPr>
          <w:b/>
          <w:i/>
          <w:color w:val="0000FF"/>
        </w:rPr>
      </w:pPr>
      <w:r>
        <w:rPr>
          <w:i/>
          <w:color w:val="0000FF"/>
        </w:rPr>
        <w:t xml:space="preserve">“A security's </w:t>
      </w:r>
      <w:r>
        <w:rPr>
          <w:b/>
          <w:i/>
          <w:color w:val="0000FF"/>
        </w:rPr>
        <w:t>beta may vary substantially depending upon whether it is estimated on the basis of daily, weekly or monthly returns</w:t>
      </w:r>
      <w:r>
        <w:rPr>
          <w:i/>
          <w:color w:val="0000FF"/>
        </w:rPr>
        <w:t xml:space="preserve">. For instance, for the four-year period January 1970 to December 1973, Eastman </w:t>
      </w:r>
      <w:r>
        <w:rPr>
          <w:i/>
          <w:color w:val="0000FF"/>
        </w:rPr>
        <w:t xml:space="preserve">Kodak had a beta of 1.25 based on daily returns, but a beta of 0.93 based on monthly returns. </w:t>
      </w:r>
      <w:r>
        <w:rPr>
          <w:b/>
          <w:i/>
          <w:color w:val="0000FF"/>
        </w:rPr>
        <w:t>In general, the betas of securities with a smaller market value than the average of all securities outstanding (the market) will decrease as the return interval i</w:t>
      </w:r>
      <w:r>
        <w:rPr>
          <w:b/>
          <w:i/>
          <w:color w:val="0000FF"/>
        </w:rPr>
        <w:t>s shortened, whereas the betas of securities with a large market value relative to the market will increase. This suggests that betas measured over return intervals of arbitrary length will tend to be biased. In particular, securities with relatively small</w:t>
      </w:r>
      <w:r>
        <w:rPr>
          <w:b/>
          <w:i/>
          <w:color w:val="0000FF"/>
        </w:rPr>
        <w:t xml:space="preserve"> market values may appear to be less risky than they truly are, whereas securities with relatively large market values may appear to be </w:t>
      </w:r>
      <w:proofErr w:type="gramStart"/>
      <w:r>
        <w:rPr>
          <w:b/>
          <w:i/>
          <w:color w:val="0000FF"/>
        </w:rPr>
        <w:t>more risky</w:t>
      </w:r>
      <w:proofErr w:type="gramEnd"/>
      <w:r>
        <w:rPr>
          <w:b/>
          <w:i/>
          <w:color w:val="0000FF"/>
        </w:rPr>
        <w:t xml:space="preserve"> than they truly are.</w:t>
      </w:r>
      <w:r>
        <w:rPr>
          <w:i/>
          <w:color w:val="0000FF"/>
        </w:rPr>
        <w:t>”</w:t>
      </w:r>
    </w:p>
    <w:p w14:paraId="49649661" w14:textId="77777777" w:rsidR="00BE6986" w:rsidRDefault="0047414E">
      <w:pPr>
        <w:pStyle w:val="Heading1"/>
        <w:pBdr>
          <w:top w:val="nil"/>
          <w:left w:val="nil"/>
          <w:bottom w:val="nil"/>
          <w:right w:val="nil"/>
          <w:between w:val="nil"/>
        </w:pBdr>
        <w:jc w:val="both"/>
        <w:rPr>
          <w:color w:val="38761D"/>
        </w:rPr>
      </w:pPr>
      <w:bookmarkStart w:id="7" w:name="_yu2n15bgd6pw" w:colFirst="0" w:colLast="0"/>
      <w:bookmarkEnd w:id="7"/>
      <w:r>
        <w:br w:type="page"/>
      </w:r>
    </w:p>
    <w:p w14:paraId="32E9F383" w14:textId="77777777" w:rsidR="00BE6986" w:rsidRDefault="0047414E">
      <w:pPr>
        <w:pStyle w:val="Heading1"/>
        <w:pBdr>
          <w:top w:val="nil"/>
          <w:left w:val="nil"/>
          <w:bottom w:val="nil"/>
          <w:right w:val="nil"/>
          <w:between w:val="nil"/>
        </w:pBdr>
        <w:jc w:val="both"/>
        <w:rPr>
          <w:color w:val="38761D"/>
        </w:rPr>
      </w:pPr>
      <w:bookmarkStart w:id="8" w:name="_dni33xrtkkxe" w:colFirst="0" w:colLast="0"/>
      <w:bookmarkEnd w:id="8"/>
      <w:r>
        <w:rPr>
          <w:color w:val="38761D"/>
        </w:rPr>
        <w:lastRenderedPageBreak/>
        <w:t>Results</w:t>
      </w:r>
    </w:p>
    <w:p w14:paraId="542FAE1F" w14:textId="77777777" w:rsidR="00BE6986" w:rsidRDefault="0047414E">
      <w:pPr>
        <w:pStyle w:val="Heading2"/>
        <w:rPr>
          <w:color w:val="4A86E8"/>
          <w:sz w:val="28"/>
          <w:szCs w:val="28"/>
        </w:rPr>
      </w:pPr>
      <w:bookmarkStart w:id="9" w:name="_yuk6yhomqn00" w:colFirst="0" w:colLast="0"/>
      <w:bookmarkEnd w:id="9"/>
      <w:r>
        <w:rPr>
          <w:color w:val="4A86E8"/>
          <w:sz w:val="28"/>
          <w:szCs w:val="28"/>
        </w:rPr>
        <w:t>Impact of Lookback Period and Return Interval on Estimated Beta</w:t>
      </w:r>
      <w:r>
        <w:rPr>
          <w:color w:val="4A86E8"/>
          <w:sz w:val="28"/>
          <w:szCs w:val="28"/>
          <w:vertAlign w:val="superscript"/>
        </w:rPr>
        <w:footnoteReference w:id="10"/>
      </w:r>
    </w:p>
    <w:p w14:paraId="4437CAAE" w14:textId="77777777" w:rsidR="00BE6986" w:rsidRDefault="00BE6986"/>
    <w:p w14:paraId="2B6752DF" w14:textId="77777777" w:rsidR="00BE6986" w:rsidRDefault="0047414E">
      <w:pPr>
        <w:jc w:val="both"/>
      </w:pPr>
      <w:r>
        <w:t>As it could be seen at the calculation of the beta,</w:t>
      </w:r>
      <w:r>
        <w:rPr>
          <w:b/>
        </w:rPr>
        <w:t xml:space="preserve"> it is not too difficult to “estimate” it</w:t>
      </w:r>
      <w:r>
        <w:t xml:space="preserve">. However, </w:t>
      </w:r>
      <w:r>
        <w:rPr>
          <w:b/>
        </w:rPr>
        <w:t>it has to be emphasized that - depending on the data used in the estimation - different estimations of beta can arise in connection with the same stock a</w:t>
      </w:r>
      <w:r>
        <w:rPr>
          <w:b/>
        </w:rPr>
        <w:t>nd market.</w:t>
      </w:r>
      <w:r>
        <w:t xml:space="preserve"> It was mentioned in the previous section that</w:t>
      </w:r>
      <w:r>
        <w:rPr>
          <w:b/>
        </w:rPr>
        <w:t xml:space="preserve"> two parameters have significant impact on the estimated beta coefficient: the lookback period and the return interval</w:t>
      </w:r>
      <w:r>
        <w:t>. In this section the effects of these factors will be examined more deeply.</w:t>
      </w:r>
    </w:p>
    <w:p w14:paraId="35E310CD" w14:textId="77777777" w:rsidR="00BE6986" w:rsidRDefault="00BE6986">
      <w:pPr>
        <w:jc w:val="both"/>
      </w:pPr>
    </w:p>
    <w:p w14:paraId="63084F81" w14:textId="77777777" w:rsidR="00BE6986" w:rsidRDefault="0047414E">
      <w:pPr>
        <w:jc w:val="both"/>
      </w:pPr>
      <w:r>
        <w:t>At f</w:t>
      </w:r>
      <w:r>
        <w:t xml:space="preserve">irst, focus on the </w:t>
      </w:r>
      <w:r>
        <w:rPr>
          <w:b/>
        </w:rPr>
        <w:t>lookback period</w:t>
      </w:r>
      <w:r>
        <w:t xml:space="preserve">. During this examination, daily-, weekly- and monthly close prices were used to calculate the betas of the </w:t>
      </w:r>
      <w:r>
        <w:rPr>
          <w:b/>
        </w:rPr>
        <w:t>~500 companies of S&amp;P500 index in comparison to the SPY</w:t>
      </w:r>
      <w:r>
        <w:t xml:space="preserve"> </w:t>
      </w:r>
      <w:r>
        <w:rPr>
          <w:b/>
        </w:rPr>
        <w:t>on 2018-12-31</w:t>
      </w:r>
      <w:r>
        <w:t xml:space="preserve"> using </w:t>
      </w:r>
      <w:r>
        <w:rPr>
          <w:b/>
        </w:rPr>
        <w:t>2- and 5-year lookback periods</w:t>
      </w:r>
      <w:r>
        <w:t>. The di</w:t>
      </w:r>
      <w:r>
        <w:t xml:space="preserve">stribution of these estimated betas can be seen in Chart 1a-c. Based on these charts and Table 1 it can be concluded that </w:t>
      </w:r>
      <w:r>
        <w:rPr>
          <w:b/>
        </w:rPr>
        <w:t>the length of the lookback period really affects the value of the beta coefficient and in case of the longer period, the betas are les</w:t>
      </w:r>
      <w:r>
        <w:rPr>
          <w:b/>
        </w:rPr>
        <w:t>s scattered</w:t>
      </w:r>
      <w:r>
        <w:t xml:space="preserve"> (</w:t>
      </w:r>
      <w:r>
        <w:rPr>
          <w:b/>
        </w:rPr>
        <w:t>more data is used</w:t>
      </w:r>
      <w:r>
        <w:t>, thus there are less outlier and lower standard deviation).</w:t>
      </w:r>
    </w:p>
    <w:p w14:paraId="50DEE932" w14:textId="77777777" w:rsidR="00BE6986" w:rsidRDefault="00BE6986">
      <w:pPr>
        <w:jc w:val="both"/>
      </w:pPr>
    </w:p>
    <w:p w14:paraId="12A4FB22" w14:textId="77777777" w:rsidR="00BE6986" w:rsidRDefault="0047414E">
      <w:pPr>
        <w:jc w:val="both"/>
        <w:rPr>
          <w:b/>
        </w:rPr>
      </w:pPr>
      <w:r>
        <w:t xml:space="preserve">Secondly, let us see the effect of the </w:t>
      </w:r>
      <w:r>
        <w:rPr>
          <w:b/>
        </w:rPr>
        <w:t>return interval</w:t>
      </w:r>
      <w:r>
        <w:t xml:space="preserve">. Chart 2a and 2b show the distribution of the estimated betas in case of different return intervals: </w:t>
      </w:r>
      <w:r>
        <w:rPr>
          <w:b/>
        </w:rPr>
        <w:t>daily-, weekly- or monthly returns</w:t>
      </w:r>
      <w:r>
        <w:t xml:space="preserve"> with the same lookback period (2- or 5-year). Using these charts and Table 1 it can be concluded that: </w:t>
      </w:r>
      <w:r>
        <w:rPr>
          <w:b/>
        </w:rPr>
        <w:t>(1) the longer t</w:t>
      </w:r>
      <w:r>
        <w:rPr>
          <w:b/>
        </w:rPr>
        <w:t>he interval, the higher the beta and (2) the shorter the interval (more samples are used in the beta estimator), the ‘narrower’ the distribution (less scattered, less outliers, a less random, more reliable estimator).</w:t>
      </w:r>
    </w:p>
    <w:p w14:paraId="5E430444" w14:textId="77777777" w:rsidR="00BE6986" w:rsidRDefault="00BE6986">
      <w:pPr>
        <w:jc w:val="both"/>
      </w:pPr>
    </w:p>
    <w:p w14:paraId="4C079864" w14:textId="77777777" w:rsidR="00BE6986" w:rsidRDefault="0047414E">
      <w:pPr>
        <w:jc w:val="both"/>
      </w:pPr>
      <w:r>
        <w:t>Based on these findings someone may s</w:t>
      </w:r>
      <w:r>
        <w:t xml:space="preserve">uppose that </w:t>
      </w:r>
      <w:r>
        <w:rPr>
          <w:b/>
        </w:rPr>
        <w:t>using more frequent data (i.e. daily returns) gives us more stable and maybe more useful beta</w:t>
      </w:r>
      <w:r>
        <w:t>.</w:t>
      </w:r>
    </w:p>
    <w:p w14:paraId="5A6E1F8D" w14:textId="77777777" w:rsidR="00BE6986" w:rsidRDefault="00BE6986">
      <w:pPr>
        <w:jc w:val="both"/>
      </w:pPr>
    </w:p>
    <w:p w14:paraId="4DBD3B4A" w14:textId="77777777" w:rsidR="00BE6986" w:rsidRDefault="0047414E">
      <w:pPr>
        <w:jc w:val="center"/>
      </w:pPr>
      <w:r>
        <w:rPr>
          <w:sz w:val="18"/>
          <w:szCs w:val="18"/>
        </w:rPr>
        <w:t>Chart 1a: Distribution of Estimated Betas of S&amp;P500 Companies using Daily Returns - different lookback period</w:t>
      </w:r>
    </w:p>
    <w:p w14:paraId="6F986244" w14:textId="77777777" w:rsidR="00BE6986" w:rsidRDefault="0047414E">
      <w:pPr>
        <w:jc w:val="both"/>
      </w:pPr>
      <w:r>
        <w:rPr>
          <w:noProof/>
        </w:rPr>
        <w:drawing>
          <wp:inline distT="114300" distB="114300" distL="114300" distR="114300" wp14:anchorId="699EAC67" wp14:editId="0748D392">
            <wp:extent cx="7052400" cy="3543300"/>
            <wp:effectExtent l="0" t="0" r="0" b="0"/>
            <wp:docPr id="37"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1"/>
                    <a:srcRect/>
                    <a:stretch>
                      <a:fillRect/>
                    </a:stretch>
                  </pic:blipFill>
                  <pic:spPr>
                    <a:xfrm>
                      <a:off x="0" y="0"/>
                      <a:ext cx="7052400" cy="3543300"/>
                    </a:xfrm>
                    <a:prstGeom prst="rect">
                      <a:avLst/>
                    </a:prstGeom>
                    <a:ln/>
                  </pic:spPr>
                </pic:pic>
              </a:graphicData>
            </a:graphic>
          </wp:inline>
        </w:drawing>
      </w:r>
    </w:p>
    <w:p w14:paraId="43FEC97B" w14:textId="77777777" w:rsidR="00BE6986" w:rsidRDefault="0047414E">
      <w:pPr>
        <w:jc w:val="center"/>
      </w:pPr>
      <w:r>
        <w:rPr>
          <w:sz w:val="18"/>
          <w:szCs w:val="18"/>
        </w:rPr>
        <w:lastRenderedPageBreak/>
        <w:t xml:space="preserve">Chart 1b: Distribution of Estimated </w:t>
      </w:r>
      <w:r>
        <w:rPr>
          <w:sz w:val="18"/>
          <w:szCs w:val="18"/>
        </w:rPr>
        <w:t>Betas of S&amp;P500 Companies using Weekly Returns - different lookback period</w:t>
      </w:r>
    </w:p>
    <w:p w14:paraId="20845A6A" w14:textId="77777777" w:rsidR="00BE6986" w:rsidRDefault="0047414E">
      <w:pPr>
        <w:jc w:val="both"/>
      </w:pPr>
      <w:r>
        <w:rPr>
          <w:noProof/>
        </w:rPr>
        <w:drawing>
          <wp:inline distT="114300" distB="114300" distL="114300" distR="114300" wp14:anchorId="0FE94DF3" wp14:editId="046028D1">
            <wp:extent cx="7052400" cy="35433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7052400" cy="3543300"/>
                    </a:xfrm>
                    <a:prstGeom prst="rect">
                      <a:avLst/>
                    </a:prstGeom>
                    <a:ln/>
                  </pic:spPr>
                </pic:pic>
              </a:graphicData>
            </a:graphic>
          </wp:inline>
        </w:drawing>
      </w:r>
    </w:p>
    <w:p w14:paraId="108D491C" w14:textId="77777777" w:rsidR="00BE6986" w:rsidRDefault="00BE6986">
      <w:pPr>
        <w:jc w:val="center"/>
        <w:rPr>
          <w:sz w:val="18"/>
          <w:szCs w:val="18"/>
        </w:rPr>
      </w:pPr>
    </w:p>
    <w:p w14:paraId="173A7E48" w14:textId="77777777" w:rsidR="00BE6986" w:rsidRDefault="00BE6986">
      <w:pPr>
        <w:jc w:val="center"/>
        <w:rPr>
          <w:sz w:val="18"/>
          <w:szCs w:val="18"/>
        </w:rPr>
      </w:pPr>
    </w:p>
    <w:p w14:paraId="3A0B5218" w14:textId="77777777" w:rsidR="00BE6986" w:rsidRDefault="0047414E">
      <w:pPr>
        <w:jc w:val="center"/>
      </w:pPr>
      <w:r>
        <w:rPr>
          <w:sz w:val="18"/>
          <w:szCs w:val="18"/>
        </w:rPr>
        <w:t>Chart 1c: Distribution of Estimated Betas of S&amp;P500 Companies using Monthly Returns - different lookback period</w:t>
      </w:r>
    </w:p>
    <w:p w14:paraId="5F593690" w14:textId="77777777" w:rsidR="00BE6986" w:rsidRDefault="0047414E">
      <w:pPr>
        <w:jc w:val="both"/>
      </w:pPr>
      <w:r>
        <w:rPr>
          <w:noProof/>
        </w:rPr>
        <w:drawing>
          <wp:inline distT="114300" distB="114300" distL="114300" distR="114300" wp14:anchorId="780A7C9D" wp14:editId="455B970F">
            <wp:extent cx="7052400" cy="3543300"/>
            <wp:effectExtent l="0" t="0" r="0" b="0"/>
            <wp:docPr id="41"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3"/>
                    <a:srcRect/>
                    <a:stretch>
                      <a:fillRect/>
                    </a:stretch>
                  </pic:blipFill>
                  <pic:spPr>
                    <a:xfrm>
                      <a:off x="0" y="0"/>
                      <a:ext cx="7052400" cy="3543300"/>
                    </a:xfrm>
                    <a:prstGeom prst="rect">
                      <a:avLst/>
                    </a:prstGeom>
                    <a:ln/>
                  </pic:spPr>
                </pic:pic>
              </a:graphicData>
            </a:graphic>
          </wp:inline>
        </w:drawing>
      </w:r>
    </w:p>
    <w:p w14:paraId="7C8F15F7" w14:textId="77777777" w:rsidR="00BE6986" w:rsidRDefault="0047414E">
      <w:pPr>
        <w:jc w:val="center"/>
        <w:rPr>
          <w:sz w:val="18"/>
          <w:szCs w:val="18"/>
        </w:rPr>
      </w:pPr>
      <w:r>
        <w:br w:type="page"/>
      </w:r>
    </w:p>
    <w:p w14:paraId="184A94E7" w14:textId="77777777" w:rsidR="00BE6986" w:rsidRDefault="0047414E">
      <w:pPr>
        <w:jc w:val="center"/>
      </w:pPr>
      <w:r>
        <w:rPr>
          <w:sz w:val="18"/>
          <w:szCs w:val="18"/>
        </w:rPr>
        <w:lastRenderedPageBreak/>
        <w:t>Chart 2a: Distribution of Estimated Betas of S&amp;P500 Companies</w:t>
      </w:r>
      <w:r>
        <w:rPr>
          <w:sz w:val="18"/>
          <w:szCs w:val="18"/>
        </w:rPr>
        <w:t xml:space="preserve"> using 5-Year Lookback Period - different return interval</w:t>
      </w:r>
    </w:p>
    <w:p w14:paraId="003F1240" w14:textId="77777777" w:rsidR="00BE6986" w:rsidRDefault="0047414E">
      <w:pPr>
        <w:jc w:val="both"/>
      </w:pPr>
      <w:r>
        <w:rPr>
          <w:noProof/>
        </w:rPr>
        <w:drawing>
          <wp:inline distT="114300" distB="114300" distL="114300" distR="114300" wp14:anchorId="65BEF662" wp14:editId="69FF08EE">
            <wp:extent cx="7052400" cy="3543300"/>
            <wp:effectExtent l="0" t="0" r="0" b="0"/>
            <wp:docPr id="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4"/>
                    <a:srcRect/>
                    <a:stretch>
                      <a:fillRect/>
                    </a:stretch>
                  </pic:blipFill>
                  <pic:spPr>
                    <a:xfrm>
                      <a:off x="0" y="0"/>
                      <a:ext cx="7052400" cy="3543300"/>
                    </a:xfrm>
                    <a:prstGeom prst="rect">
                      <a:avLst/>
                    </a:prstGeom>
                    <a:ln/>
                  </pic:spPr>
                </pic:pic>
              </a:graphicData>
            </a:graphic>
          </wp:inline>
        </w:drawing>
      </w:r>
    </w:p>
    <w:p w14:paraId="0EABDACC" w14:textId="77777777" w:rsidR="00BE6986" w:rsidRDefault="00BE6986">
      <w:pPr>
        <w:jc w:val="center"/>
        <w:rPr>
          <w:sz w:val="18"/>
          <w:szCs w:val="18"/>
        </w:rPr>
      </w:pPr>
    </w:p>
    <w:p w14:paraId="71F58AC4" w14:textId="77777777" w:rsidR="00BE6986" w:rsidRDefault="00BE6986">
      <w:pPr>
        <w:jc w:val="center"/>
        <w:rPr>
          <w:sz w:val="18"/>
          <w:szCs w:val="18"/>
        </w:rPr>
      </w:pPr>
    </w:p>
    <w:p w14:paraId="73D9746C" w14:textId="77777777" w:rsidR="00BE6986" w:rsidRDefault="0047414E">
      <w:pPr>
        <w:jc w:val="center"/>
      </w:pPr>
      <w:r>
        <w:rPr>
          <w:sz w:val="18"/>
          <w:szCs w:val="18"/>
        </w:rPr>
        <w:t>Chart 2b: Distribution of Estimated Betas of S&amp;P500 Companies using 2-Year Lookback Period - different return interval</w:t>
      </w:r>
    </w:p>
    <w:p w14:paraId="785442F3" w14:textId="77777777" w:rsidR="00BE6986" w:rsidRDefault="0047414E">
      <w:pPr>
        <w:jc w:val="both"/>
      </w:pPr>
      <w:r>
        <w:rPr>
          <w:noProof/>
        </w:rPr>
        <w:drawing>
          <wp:inline distT="114300" distB="114300" distL="114300" distR="114300" wp14:anchorId="780691E9" wp14:editId="2F1896B9">
            <wp:extent cx="7052400" cy="3556000"/>
            <wp:effectExtent l="0" t="0" r="0" b="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5"/>
                    <a:srcRect/>
                    <a:stretch>
                      <a:fillRect/>
                    </a:stretch>
                  </pic:blipFill>
                  <pic:spPr>
                    <a:xfrm>
                      <a:off x="0" y="0"/>
                      <a:ext cx="7052400" cy="3556000"/>
                    </a:xfrm>
                    <a:prstGeom prst="rect">
                      <a:avLst/>
                    </a:prstGeom>
                    <a:ln/>
                  </pic:spPr>
                </pic:pic>
              </a:graphicData>
            </a:graphic>
          </wp:inline>
        </w:drawing>
      </w:r>
    </w:p>
    <w:p w14:paraId="53995DE3" w14:textId="77777777" w:rsidR="00BE6986" w:rsidRDefault="0047414E">
      <w:pPr>
        <w:jc w:val="center"/>
        <w:rPr>
          <w:sz w:val="18"/>
          <w:szCs w:val="18"/>
        </w:rPr>
      </w:pPr>
      <w:r>
        <w:br w:type="page"/>
      </w:r>
    </w:p>
    <w:p w14:paraId="3DB39FD0" w14:textId="77777777" w:rsidR="00BE6986" w:rsidRDefault="0047414E">
      <w:pPr>
        <w:jc w:val="center"/>
      </w:pPr>
      <w:r>
        <w:rPr>
          <w:sz w:val="18"/>
          <w:szCs w:val="18"/>
        </w:rPr>
        <w:lastRenderedPageBreak/>
        <w:t>Table 1: Estimated Betas of S&amp;P500 Companies by Lookback Period and Ret</w:t>
      </w:r>
      <w:r>
        <w:rPr>
          <w:sz w:val="18"/>
          <w:szCs w:val="18"/>
        </w:rPr>
        <w:t>urn Interval</w:t>
      </w:r>
    </w:p>
    <w:p w14:paraId="2F06B9F1" w14:textId="77777777" w:rsidR="00BE6986" w:rsidRDefault="0047414E">
      <w:pPr>
        <w:jc w:val="center"/>
      </w:pPr>
      <w:r>
        <w:rPr>
          <w:noProof/>
        </w:rPr>
        <w:drawing>
          <wp:inline distT="114300" distB="114300" distL="114300" distR="114300" wp14:anchorId="5D5B1371" wp14:editId="0A05C6E5">
            <wp:extent cx="7052400" cy="1676400"/>
            <wp:effectExtent l="0" t="0" r="0" b="0"/>
            <wp:docPr id="57"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26"/>
                    <a:srcRect/>
                    <a:stretch>
                      <a:fillRect/>
                    </a:stretch>
                  </pic:blipFill>
                  <pic:spPr>
                    <a:xfrm>
                      <a:off x="0" y="0"/>
                      <a:ext cx="7052400" cy="1676400"/>
                    </a:xfrm>
                    <a:prstGeom prst="rect">
                      <a:avLst/>
                    </a:prstGeom>
                    <a:ln/>
                  </pic:spPr>
                </pic:pic>
              </a:graphicData>
            </a:graphic>
          </wp:inline>
        </w:drawing>
      </w:r>
    </w:p>
    <w:p w14:paraId="3018220D" w14:textId="77777777" w:rsidR="00BE6986" w:rsidRDefault="0047414E">
      <w:pPr>
        <w:jc w:val="both"/>
      </w:pPr>
      <w:r>
        <w:t xml:space="preserve">As a next step, instead of the nearly 500 S&amp;P500 companies, we have </w:t>
      </w:r>
      <w:r>
        <w:rPr>
          <w:b/>
        </w:rPr>
        <w:t xml:space="preserve">focused on our 13 </w:t>
      </w:r>
      <w:proofErr w:type="spellStart"/>
      <w:r>
        <w:rPr>
          <w:b/>
        </w:rPr>
        <w:t>GameChanger</w:t>
      </w:r>
      <w:proofErr w:type="spellEnd"/>
      <w:r>
        <w:rPr>
          <w:b/>
        </w:rPr>
        <w:t xml:space="preserve"> stocks</w:t>
      </w:r>
      <w:r>
        <w:t xml:space="preserve">. In this part of this section, we calculated their betas </w:t>
      </w:r>
      <w:r>
        <w:rPr>
          <w:b/>
        </w:rPr>
        <w:t>not only for a given day (e.g. 2018-12-31 as above) but for every day between 2</w:t>
      </w:r>
      <w:r>
        <w:rPr>
          <w:b/>
        </w:rPr>
        <w:t>004 and 2018</w:t>
      </w:r>
      <w:r>
        <w:t xml:space="preserve"> and not only in comparison to the SPY but to the QQQ (their better benchmark) as well - using daily-, weekly- and monthly returns and 2- and 5-year lookback periods again. The distributions of these beta coefficients can be seen in Chart 3a-f </w:t>
      </w:r>
      <w:r>
        <w:t>and Chart 4a-d - similar to the previous ones.</w:t>
      </w:r>
    </w:p>
    <w:p w14:paraId="28DF1BD9" w14:textId="77777777" w:rsidR="00BE6986" w:rsidRDefault="00BE6986">
      <w:pPr>
        <w:jc w:val="both"/>
      </w:pPr>
    </w:p>
    <w:p w14:paraId="123C267B" w14:textId="77777777" w:rsidR="00BE6986" w:rsidRDefault="0047414E">
      <w:pPr>
        <w:jc w:val="both"/>
      </w:pPr>
      <w:r>
        <w:t>Based on these charts,</w:t>
      </w:r>
      <w:r>
        <w:rPr>
          <w:b/>
        </w:rPr>
        <w:t xml:space="preserve"> daily betas seem more stable (less volatile) and slightly lower than weekly- or monthly betas</w:t>
      </w:r>
      <w:r>
        <w:t xml:space="preserve">. At this point, </w:t>
      </w:r>
      <w:r>
        <w:rPr>
          <w:b/>
        </w:rPr>
        <w:t>no clear relationship can be found between the distribution of betas and th</w:t>
      </w:r>
      <w:r>
        <w:rPr>
          <w:b/>
        </w:rPr>
        <w:t>ese (2- and 5-year) lookback periods</w:t>
      </w:r>
      <w:r>
        <w:t xml:space="preserve"> (other periods may have significant effect).</w:t>
      </w:r>
    </w:p>
    <w:p w14:paraId="289CFD93" w14:textId="77777777" w:rsidR="00BE6986" w:rsidRDefault="00BE6986">
      <w:pPr>
        <w:jc w:val="both"/>
      </w:pPr>
    </w:p>
    <w:p w14:paraId="29B8AF6B" w14:textId="77777777" w:rsidR="00BE6986" w:rsidRDefault="00BE6986">
      <w:pPr>
        <w:jc w:val="both"/>
      </w:pPr>
    </w:p>
    <w:p w14:paraId="2D2E6C7F" w14:textId="77777777" w:rsidR="00BE6986" w:rsidRDefault="0047414E">
      <w:pPr>
        <w:jc w:val="center"/>
      </w:pPr>
      <w:r>
        <w:rPr>
          <w:sz w:val="18"/>
          <w:szCs w:val="18"/>
        </w:rPr>
        <w:t xml:space="preserve">Chart 3a: Distribution of Estimated Betas of </w:t>
      </w:r>
      <w:proofErr w:type="spellStart"/>
      <w:r>
        <w:rPr>
          <w:sz w:val="18"/>
          <w:szCs w:val="18"/>
        </w:rPr>
        <w:t>GameChangers</w:t>
      </w:r>
      <w:proofErr w:type="spellEnd"/>
      <w:r>
        <w:rPr>
          <w:sz w:val="18"/>
          <w:szCs w:val="18"/>
        </w:rPr>
        <w:t xml:space="preserve"> using Daily Returns in Comparison to QQQ - different lookback period</w:t>
      </w:r>
    </w:p>
    <w:p w14:paraId="690508B2" w14:textId="77777777" w:rsidR="00BE6986" w:rsidRDefault="0047414E">
      <w:pPr>
        <w:jc w:val="both"/>
      </w:pPr>
      <w:r>
        <w:rPr>
          <w:noProof/>
        </w:rPr>
        <w:drawing>
          <wp:inline distT="114300" distB="114300" distL="114300" distR="114300" wp14:anchorId="1AAC07CD" wp14:editId="54B3F752">
            <wp:extent cx="7052400" cy="3543300"/>
            <wp:effectExtent l="0" t="0" r="0" 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7"/>
                    <a:srcRect/>
                    <a:stretch>
                      <a:fillRect/>
                    </a:stretch>
                  </pic:blipFill>
                  <pic:spPr>
                    <a:xfrm>
                      <a:off x="0" y="0"/>
                      <a:ext cx="7052400" cy="3543300"/>
                    </a:xfrm>
                    <a:prstGeom prst="rect">
                      <a:avLst/>
                    </a:prstGeom>
                    <a:ln/>
                  </pic:spPr>
                </pic:pic>
              </a:graphicData>
            </a:graphic>
          </wp:inline>
        </w:drawing>
      </w:r>
    </w:p>
    <w:p w14:paraId="012B763A" w14:textId="77777777" w:rsidR="00BE6986" w:rsidRDefault="0047414E">
      <w:pPr>
        <w:jc w:val="center"/>
        <w:rPr>
          <w:sz w:val="18"/>
          <w:szCs w:val="18"/>
        </w:rPr>
      </w:pPr>
      <w:r>
        <w:br w:type="page"/>
      </w:r>
    </w:p>
    <w:p w14:paraId="7B632F36" w14:textId="77777777" w:rsidR="00BE6986" w:rsidRDefault="0047414E">
      <w:pPr>
        <w:jc w:val="center"/>
      </w:pPr>
      <w:r>
        <w:rPr>
          <w:sz w:val="18"/>
          <w:szCs w:val="18"/>
        </w:rPr>
        <w:lastRenderedPageBreak/>
        <w:t xml:space="preserve">Chart 3b: Distribution of Estimated Betas of </w:t>
      </w:r>
      <w:proofErr w:type="spellStart"/>
      <w:r>
        <w:rPr>
          <w:sz w:val="18"/>
          <w:szCs w:val="18"/>
        </w:rPr>
        <w:t>GameChangers</w:t>
      </w:r>
      <w:proofErr w:type="spellEnd"/>
      <w:r>
        <w:rPr>
          <w:sz w:val="18"/>
          <w:szCs w:val="18"/>
        </w:rPr>
        <w:t xml:space="preserve"> using Daily Returns in Comparison to SPY - different lookback period</w:t>
      </w:r>
    </w:p>
    <w:p w14:paraId="271727E6" w14:textId="77777777" w:rsidR="00BE6986" w:rsidRDefault="0047414E">
      <w:pPr>
        <w:jc w:val="both"/>
      </w:pPr>
      <w:r>
        <w:rPr>
          <w:noProof/>
        </w:rPr>
        <w:drawing>
          <wp:inline distT="114300" distB="114300" distL="114300" distR="114300" wp14:anchorId="1723F94E" wp14:editId="5A1FEA1E">
            <wp:extent cx="7052400" cy="3543300"/>
            <wp:effectExtent l="0" t="0" r="0" b="0"/>
            <wp:docPr id="30"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8"/>
                    <a:srcRect/>
                    <a:stretch>
                      <a:fillRect/>
                    </a:stretch>
                  </pic:blipFill>
                  <pic:spPr>
                    <a:xfrm>
                      <a:off x="0" y="0"/>
                      <a:ext cx="7052400" cy="3543300"/>
                    </a:xfrm>
                    <a:prstGeom prst="rect">
                      <a:avLst/>
                    </a:prstGeom>
                    <a:ln/>
                  </pic:spPr>
                </pic:pic>
              </a:graphicData>
            </a:graphic>
          </wp:inline>
        </w:drawing>
      </w:r>
    </w:p>
    <w:p w14:paraId="3E627C8B" w14:textId="77777777" w:rsidR="00BE6986" w:rsidRDefault="00BE6986">
      <w:pPr>
        <w:jc w:val="center"/>
        <w:rPr>
          <w:sz w:val="18"/>
          <w:szCs w:val="18"/>
        </w:rPr>
      </w:pPr>
    </w:p>
    <w:p w14:paraId="6350C01A" w14:textId="77777777" w:rsidR="00BE6986" w:rsidRDefault="00BE6986">
      <w:pPr>
        <w:jc w:val="center"/>
        <w:rPr>
          <w:sz w:val="18"/>
          <w:szCs w:val="18"/>
        </w:rPr>
      </w:pPr>
    </w:p>
    <w:p w14:paraId="2BE69CF5" w14:textId="77777777" w:rsidR="00BE6986" w:rsidRDefault="0047414E">
      <w:pPr>
        <w:jc w:val="center"/>
      </w:pPr>
      <w:r>
        <w:rPr>
          <w:sz w:val="18"/>
          <w:szCs w:val="18"/>
        </w:rPr>
        <w:t xml:space="preserve">Chart 3c: Distribution of Estimated Betas of </w:t>
      </w:r>
      <w:proofErr w:type="spellStart"/>
      <w:r>
        <w:rPr>
          <w:sz w:val="18"/>
          <w:szCs w:val="18"/>
        </w:rPr>
        <w:t>GameChangers</w:t>
      </w:r>
      <w:proofErr w:type="spellEnd"/>
      <w:r>
        <w:rPr>
          <w:sz w:val="18"/>
          <w:szCs w:val="18"/>
        </w:rPr>
        <w:t xml:space="preserve"> using Weekly Returns in Comparison to QQQ - different lookback peri</w:t>
      </w:r>
      <w:r>
        <w:rPr>
          <w:sz w:val="18"/>
          <w:szCs w:val="18"/>
        </w:rPr>
        <w:t>od</w:t>
      </w:r>
    </w:p>
    <w:p w14:paraId="492031FA" w14:textId="77777777" w:rsidR="00BE6986" w:rsidRDefault="0047414E">
      <w:pPr>
        <w:jc w:val="both"/>
      </w:pPr>
      <w:r>
        <w:rPr>
          <w:noProof/>
        </w:rPr>
        <w:drawing>
          <wp:inline distT="114300" distB="114300" distL="114300" distR="114300" wp14:anchorId="1565775D" wp14:editId="70A0E4ED">
            <wp:extent cx="7052400" cy="3543300"/>
            <wp:effectExtent l="0" t="0" r="0" b="0"/>
            <wp:docPr id="55"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29"/>
                    <a:srcRect/>
                    <a:stretch>
                      <a:fillRect/>
                    </a:stretch>
                  </pic:blipFill>
                  <pic:spPr>
                    <a:xfrm>
                      <a:off x="0" y="0"/>
                      <a:ext cx="7052400" cy="3543300"/>
                    </a:xfrm>
                    <a:prstGeom prst="rect">
                      <a:avLst/>
                    </a:prstGeom>
                    <a:ln/>
                  </pic:spPr>
                </pic:pic>
              </a:graphicData>
            </a:graphic>
          </wp:inline>
        </w:drawing>
      </w:r>
    </w:p>
    <w:p w14:paraId="732A2EE4" w14:textId="77777777" w:rsidR="00BE6986" w:rsidRDefault="0047414E">
      <w:pPr>
        <w:jc w:val="center"/>
        <w:rPr>
          <w:sz w:val="18"/>
          <w:szCs w:val="18"/>
        </w:rPr>
      </w:pPr>
      <w:r>
        <w:br w:type="page"/>
      </w:r>
    </w:p>
    <w:p w14:paraId="3455D053" w14:textId="77777777" w:rsidR="00BE6986" w:rsidRDefault="0047414E">
      <w:pPr>
        <w:jc w:val="center"/>
      </w:pPr>
      <w:r>
        <w:rPr>
          <w:sz w:val="18"/>
          <w:szCs w:val="18"/>
        </w:rPr>
        <w:lastRenderedPageBreak/>
        <w:t xml:space="preserve">Chart 3d: Distribution of Estimated Betas of </w:t>
      </w:r>
      <w:proofErr w:type="spellStart"/>
      <w:r>
        <w:rPr>
          <w:sz w:val="18"/>
          <w:szCs w:val="18"/>
        </w:rPr>
        <w:t>GameChangers</w:t>
      </w:r>
      <w:proofErr w:type="spellEnd"/>
      <w:r>
        <w:rPr>
          <w:sz w:val="18"/>
          <w:szCs w:val="18"/>
        </w:rPr>
        <w:t xml:space="preserve"> using Weekly Returns in Comparison to SPY - different lookback period</w:t>
      </w:r>
    </w:p>
    <w:p w14:paraId="5B25BE6B" w14:textId="77777777" w:rsidR="00BE6986" w:rsidRDefault="0047414E">
      <w:pPr>
        <w:jc w:val="both"/>
      </w:pPr>
      <w:r>
        <w:rPr>
          <w:noProof/>
        </w:rPr>
        <w:drawing>
          <wp:inline distT="114300" distB="114300" distL="114300" distR="114300" wp14:anchorId="677B5680" wp14:editId="01B256D4">
            <wp:extent cx="7052400" cy="3556000"/>
            <wp:effectExtent l="0" t="0" r="0" b="0"/>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0"/>
                    <a:srcRect/>
                    <a:stretch>
                      <a:fillRect/>
                    </a:stretch>
                  </pic:blipFill>
                  <pic:spPr>
                    <a:xfrm>
                      <a:off x="0" y="0"/>
                      <a:ext cx="7052400" cy="3556000"/>
                    </a:xfrm>
                    <a:prstGeom prst="rect">
                      <a:avLst/>
                    </a:prstGeom>
                    <a:ln/>
                  </pic:spPr>
                </pic:pic>
              </a:graphicData>
            </a:graphic>
          </wp:inline>
        </w:drawing>
      </w:r>
    </w:p>
    <w:p w14:paraId="5206E689" w14:textId="77777777" w:rsidR="00BE6986" w:rsidRDefault="00BE6986">
      <w:pPr>
        <w:jc w:val="center"/>
        <w:rPr>
          <w:sz w:val="18"/>
          <w:szCs w:val="18"/>
        </w:rPr>
      </w:pPr>
    </w:p>
    <w:p w14:paraId="6DC70389" w14:textId="77777777" w:rsidR="00BE6986" w:rsidRDefault="00BE6986">
      <w:pPr>
        <w:jc w:val="center"/>
        <w:rPr>
          <w:sz w:val="18"/>
          <w:szCs w:val="18"/>
        </w:rPr>
      </w:pPr>
    </w:p>
    <w:p w14:paraId="06DFA2F2" w14:textId="77777777" w:rsidR="00BE6986" w:rsidRDefault="0047414E">
      <w:pPr>
        <w:jc w:val="center"/>
      </w:pPr>
      <w:r>
        <w:rPr>
          <w:sz w:val="18"/>
          <w:szCs w:val="18"/>
        </w:rPr>
        <w:t xml:space="preserve">Chart 3e: Distribution of Estimated Betas of </w:t>
      </w:r>
      <w:proofErr w:type="spellStart"/>
      <w:r>
        <w:rPr>
          <w:sz w:val="18"/>
          <w:szCs w:val="18"/>
        </w:rPr>
        <w:t>GameChangers</w:t>
      </w:r>
      <w:proofErr w:type="spellEnd"/>
      <w:r>
        <w:rPr>
          <w:sz w:val="18"/>
          <w:szCs w:val="18"/>
        </w:rPr>
        <w:t xml:space="preserve"> using Monthly Returns in Comparison to QQQ - different look</w:t>
      </w:r>
      <w:r>
        <w:rPr>
          <w:sz w:val="18"/>
          <w:szCs w:val="18"/>
        </w:rPr>
        <w:t>back period</w:t>
      </w:r>
    </w:p>
    <w:p w14:paraId="4C7AE146" w14:textId="77777777" w:rsidR="00BE6986" w:rsidRDefault="0047414E">
      <w:pPr>
        <w:jc w:val="both"/>
      </w:pPr>
      <w:r>
        <w:rPr>
          <w:noProof/>
        </w:rPr>
        <w:drawing>
          <wp:inline distT="114300" distB="114300" distL="114300" distR="114300" wp14:anchorId="31B9ACD4" wp14:editId="3B280222">
            <wp:extent cx="7052400" cy="3543300"/>
            <wp:effectExtent l="0" t="0" r="0" b="0"/>
            <wp:docPr id="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1"/>
                    <a:srcRect/>
                    <a:stretch>
                      <a:fillRect/>
                    </a:stretch>
                  </pic:blipFill>
                  <pic:spPr>
                    <a:xfrm>
                      <a:off x="0" y="0"/>
                      <a:ext cx="7052400" cy="3543300"/>
                    </a:xfrm>
                    <a:prstGeom prst="rect">
                      <a:avLst/>
                    </a:prstGeom>
                    <a:ln/>
                  </pic:spPr>
                </pic:pic>
              </a:graphicData>
            </a:graphic>
          </wp:inline>
        </w:drawing>
      </w:r>
    </w:p>
    <w:p w14:paraId="21211F96" w14:textId="77777777" w:rsidR="00BE6986" w:rsidRDefault="0047414E">
      <w:pPr>
        <w:jc w:val="center"/>
        <w:rPr>
          <w:sz w:val="18"/>
          <w:szCs w:val="18"/>
        </w:rPr>
      </w:pPr>
      <w:r>
        <w:br w:type="page"/>
      </w:r>
    </w:p>
    <w:p w14:paraId="0EC57937" w14:textId="77777777" w:rsidR="00BE6986" w:rsidRDefault="0047414E">
      <w:pPr>
        <w:jc w:val="center"/>
      </w:pPr>
      <w:r>
        <w:rPr>
          <w:sz w:val="18"/>
          <w:szCs w:val="18"/>
        </w:rPr>
        <w:lastRenderedPageBreak/>
        <w:t xml:space="preserve">Chart 3f: Distribution of Estimated Betas of </w:t>
      </w:r>
      <w:proofErr w:type="spellStart"/>
      <w:r>
        <w:rPr>
          <w:sz w:val="18"/>
          <w:szCs w:val="18"/>
        </w:rPr>
        <w:t>GameChangers</w:t>
      </w:r>
      <w:proofErr w:type="spellEnd"/>
      <w:r>
        <w:rPr>
          <w:sz w:val="18"/>
          <w:szCs w:val="18"/>
        </w:rPr>
        <w:t xml:space="preserve"> using Monthly Returns in Comparison to SPY - different lookback period</w:t>
      </w:r>
    </w:p>
    <w:p w14:paraId="48C7DD8A" w14:textId="77777777" w:rsidR="00BE6986" w:rsidRDefault="0047414E">
      <w:pPr>
        <w:jc w:val="both"/>
      </w:pPr>
      <w:r>
        <w:rPr>
          <w:noProof/>
        </w:rPr>
        <w:drawing>
          <wp:inline distT="114300" distB="114300" distL="114300" distR="114300" wp14:anchorId="08E696EA" wp14:editId="11384A34">
            <wp:extent cx="7052400" cy="3543300"/>
            <wp:effectExtent l="0" t="0" r="0" b="0"/>
            <wp:docPr id="2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2"/>
                    <a:srcRect/>
                    <a:stretch>
                      <a:fillRect/>
                    </a:stretch>
                  </pic:blipFill>
                  <pic:spPr>
                    <a:xfrm>
                      <a:off x="0" y="0"/>
                      <a:ext cx="7052400" cy="3543300"/>
                    </a:xfrm>
                    <a:prstGeom prst="rect">
                      <a:avLst/>
                    </a:prstGeom>
                    <a:ln/>
                  </pic:spPr>
                </pic:pic>
              </a:graphicData>
            </a:graphic>
          </wp:inline>
        </w:drawing>
      </w:r>
    </w:p>
    <w:p w14:paraId="368AD791" w14:textId="77777777" w:rsidR="00BE6986" w:rsidRDefault="00BE6986">
      <w:pPr>
        <w:jc w:val="center"/>
        <w:rPr>
          <w:sz w:val="18"/>
          <w:szCs w:val="18"/>
        </w:rPr>
      </w:pPr>
    </w:p>
    <w:p w14:paraId="077CA6C1" w14:textId="77777777" w:rsidR="00BE6986" w:rsidRDefault="00BE6986">
      <w:pPr>
        <w:jc w:val="center"/>
        <w:rPr>
          <w:sz w:val="18"/>
          <w:szCs w:val="18"/>
        </w:rPr>
      </w:pPr>
    </w:p>
    <w:p w14:paraId="5415DBC1" w14:textId="77777777" w:rsidR="00BE6986" w:rsidRDefault="0047414E">
      <w:pPr>
        <w:jc w:val="center"/>
      </w:pPr>
      <w:r>
        <w:rPr>
          <w:sz w:val="18"/>
          <w:szCs w:val="18"/>
        </w:rPr>
        <w:t xml:space="preserve">Chart 4a: Distribution of Estimated Betas of </w:t>
      </w:r>
      <w:proofErr w:type="spellStart"/>
      <w:r>
        <w:rPr>
          <w:sz w:val="18"/>
          <w:szCs w:val="18"/>
        </w:rPr>
        <w:t>GameChangers</w:t>
      </w:r>
      <w:proofErr w:type="spellEnd"/>
      <w:r>
        <w:rPr>
          <w:sz w:val="18"/>
          <w:szCs w:val="18"/>
        </w:rPr>
        <w:t xml:space="preserve"> using 5-Year Lookback Period in Comparison to QQQ</w:t>
      </w:r>
      <w:r>
        <w:rPr>
          <w:sz w:val="18"/>
          <w:szCs w:val="18"/>
        </w:rPr>
        <w:t xml:space="preserve"> - different return interval</w:t>
      </w:r>
    </w:p>
    <w:p w14:paraId="659C6A4E" w14:textId="77777777" w:rsidR="00BE6986" w:rsidRDefault="0047414E">
      <w:pPr>
        <w:jc w:val="both"/>
      </w:pPr>
      <w:r>
        <w:rPr>
          <w:noProof/>
        </w:rPr>
        <w:drawing>
          <wp:inline distT="114300" distB="114300" distL="114300" distR="114300" wp14:anchorId="37837366" wp14:editId="48EEE6F9">
            <wp:extent cx="7052400" cy="3543300"/>
            <wp:effectExtent l="0" t="0" r="0" b="0"/>
            <wp:docPr id="3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3"/>
                    <a:srcRect/>
                    <a:stretch>
                      <a:fillRect/>
                    </a:stretch>
                  </pic:blipFill>
                  <pic:spPr>
                    <a:xfrm>
                      <a:off x="0" y="0"/>
                      <a:ext cx="7052400" cy="3543300"/>
                    </a:xfrm>
                    <a:prstGeom prst="rect">
                      <a:avLst/>
                    </a:prstGeom>
                    <a:ln/>
                  </pic:spPr>
                </pic:pic>
              </a:graphicData>
            </a:graphic>
          </wp:inline>
        </w:drawing>
      </w:r>
    </w:p>
    <w:p w14:paraId="3CA72175" w14:textId="77777777" w:rsidR="00BE6986" w:rsidRDefault="0047414E">
      <w:pPr>
        <w:jc w:val="center"/>
        <w:rPr>
          <w:sz w:val="18"/>
          <w:szCs w:val="18"/>
        </w:rPr>
      </w:pPr>
      <w:r>
        <w:br w:type="page"/>
      </w:r>
    </w:p>
    <w:p w14:paraId="72BB474A" w14:textId="77777777" w:rsidR="00BE6986" w:rsidRDefault="0047414E">
      <w:pPr>
        <w:jc w:val="center"/>
      </w:pPr>
      <w:r>
        <w:rPr>
          <w:sz w:val="18"/>
          <w:szCs w:val="18"/>
        </w:rPr>
        <w:lastRenderedPageBreak/>
        <w:t xml:space="preserve">Chart 4b: Distribution of Estimated Betas of </w:t>
      </w:r>
      <w:proofErr w:type="spellStart"/>
      <w:r>
        <w:rPr>
          <w:sz w:val="18"/>
          <w:szCs w:val="18"/>
        </w:rPr>
        <w:t>GameChangers</w:t>
      </w:r>
      <w:proofErr w:type="spellEnd"/>
      <w:r>
        <w:rPr>
          <w:sz w:val="18"/>
          <w:szCs w:val="18"/>
        </w:rPr>
        <w:t xml:space="preserve"> using 5-Year Lookback Period in Comparison to SPY - different return interval</w:t>
      </w:r>
    </w:p>
    <w:p w14:paraId="15AACE28" w14:textId="77777777" w:rsidR="00BE6986" w:rsidRDefault="0047414E">
      <w:pPr>
        <w:jc w:val="both"/>
      </w:pPr>
      <w:r>
        <w:rPr>
          <w:noProof/>
        </w:rPr>
        <w:drawing>
          <wp:inline distT="114300" distB="114300" distL="114300" distR="114300" wp14:anchorId="101FACE9" wp14:editId="2A3920F1">
            <wp:extent cx="7052400" cy="3543300"/>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4"/>
                    <a:srcRect/>
                    <a:stretch>
                      <a:fillRect/>
                    </a:stretch>
                  </pic:blipFill>
                  <pic:spPr>
                    <a:xfrm>
                      <a:off x="0" y="0"/>
                      <a:ext cx="7052400" cy="3543300"/>
                    </a:xfrm>
                    <a:prstGeom prst="rect">
                      <a:avLst/>
                    </a:prstGeom>
                    <a:ln/>
                  </pic:spPr>
                </pic:pic>
              </a:graphicData>
            </a:graphic>
          </wp:inline>
        </w:drawing>
      </w:r>
    </w:p>
    <w:p w14:paraId="54B39A24" w14:textId="77777777" w:rsidR="00BE6986" w:rsidRDefault="00BE6986">
      <w:pPr>
        <w:jc w:val="center"/>
        <w:rPr>
          <w:sz w:val="18"/>
          <w:szCs w:val="18"/>
        </w:rPr>
      </w:pPr>
    </w:p>
    <w:p w14:paraId="092D271B" w14:textId="77777777" w:rsidR="00BE6986" w:rsidRDefault="0047414E">
      <w:pPr>
        <w:jc w:val="center"/>
      </w:pPr>
      <w:r>
        <w:rPr>
          <w:sz w:val="18"/>
          <w:szCs w:val="18"/>
        </w:rPr>
        <w:t xml:space="preserve">Chart 4c: Distribution of Estimated Betas of </w:t>
      </w:r>
      <w:proofErr w:type="spellStart"/>
      <w:r>
        <w:rPr>
          <w:sz w:val="18"/>
          <w:szCs w:val="18"/>
        </w:rPr>
        <w:t>GameChangers</w:t>
      </w:r>
      <w:proofErr w:type="spellEnd"/>
      <w:r>
        <w:rPr>
          <w:sz w:val="18"/>
          <w:szCs w:val="18"/>
        </w:rPr>
        <w:t xml:space="preserve"> using 2-Year Lookback Peri</w:t>
      </w:r>
      <w:r>
        <w:rPr>
          <w:sz w:val="18"/>
          <w:szCs w:val="18"/>
        </w:rPr>
        <w:t>od in Comparison to QQQ - different return interval</w:t>
      </w:r>
    </w:p>
    <w:p w14:paraId="2441E9FD" w14:textId="77777777" w:rsidR="00BE6986" w:rsidRDefault="0047414E">
      <w:pPr>
        <w:jc w:val="both"/>
      </w:pPr>
      <w:r>
        <w:rPr>
          <w:noProof/>
        </w:rPr>
        <w:drawing>
          <wp:inline distT="114300" distB="114300" distL="114300" distR="114300" wp14:anchorId="6CB17D2A" wp14:editId="701B9643">
            <wp:extent cx="7052400" cy="3543300"/>
            <wp:effectExtent l="0" t="0" r="0" b="0"/>
            <wp:docPr id="17"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35"/>
                    <a:srcRect/>
                    <a:stretch>
                      <a:fillRect/>
                    </a:stretch>
                  </pic:blipFill>
                  <pic:spPr>
                    <a:xfrm>
                      <a:off x="0" y="0"/>
                      <a:ext cx="7052400" cy="3543300"/>
                    </a:xfrm>
                    <a:prstGeom prst="rect">
                      <a:avLst/>
                    </a:prstGeom>
                    <a:ln/>
                  </pic:spPr>
                </pic:pic>
              </a:graphicData>
            </a:graphic>
          </wp:inline>
        </w:drawing>
      </w:r>
    </w:p>
    <w:p w14:paraId="0FBA44B6" w14:textId="77777777" w:rsidR="00BE6986" w:rsidRDefault="0047414E">
      <w:pPr>
        <w:jc w:val="center"/>
        <w:rPr>
          <w:sz w:val="18"/>
          <w:szCs w:val="18"/>
        </w:rPr>
      </w:pPr>
      <w:r>
        <w:br w:type="page"/>
      </w:r>
    </w:p>
    <w:p w14:paraId="77EABDA0" w14:textId="77777777" w:rsidR="00BE6986" w:rsidRDefault="0047414E">
      <w:pPr>
        <w:jc w:val="center"/>
      </w:pPr>
      <w:r>
        <w:rPr>
          <w:sz w:val="18"/>
          <w:szCs w:val="18"/>
        </w:rPr>
        <w:lastRenderedPageBreak/>
        <w:t xml:space="preserve">Chart 4d: Distribution of Estimated Betas of </w:t>
      </w:r>
      <w:proofErr w:type="spellStart"/>
      <w:r>
        <w:rPr>
          <w:sz w:val="18"/>
          <w:szCs w:val="18"/>
        </w:rPr>
        <w:t>GameChangers</w:t>
      </w:r>
      <w:proofErr w:type="spellEnd"/>
      <w:r>
        <w:rPr>
          <w:sz w:val="18"/>
          <w:szCs w:val="18"/>
        </w:rPr>
        <w:t xml:space="preserve"> using 2-Year Lookback Period in Comparison to SPY - different return interval</w:t>
      </w:r>
    </w:p>
    <w:p w14:paraId="03799638" w14:textId="77777777" w:rsidR="00BE6986" w:rsidRDefault="0047414E">
      <w:pPr>
        <w:jc w:val="both"/>
      </w:pPr>
      <w:r>
        <w:rPr>
          <w:noProof/>
        </w:rPr>
        <w:drawing>
          <wp:inline distT="114300" distB="114300" distL="114300" distR="114300" wp14:anchorId="6D6078A8" wp14:editId="2901A9A9">
            <wp:extent cx="7052400" cy="3556000"/>
            <wp:effectExtent l="0" t="0" r="0" b="0"/>
            <wp:docPr id="2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6"/>
                    <a:srcRect/>
                    <a:stretch>
                      <a:fillRect/>
                    </a:stretch>
                  </pic:blipFill>
                  <pic:spPr>
                    <a:xfrm>
                      <a:off x="0" y="0"/>
                      <a:ext cx="7052400" cy="3556000"/>
                    </a:xfrm>
                    <a:prstGeom prst="rect">
                      <a:avLst/>
                    </a:prstGeom>
                    <a:ln/>
                  </pic:spPr>
                </pic:pic>
              </a:graphicData>
            </a:graphic>
          </wp:inline>
        </w:drawing>
      </w:r>
    </w:p>
    <w:p w14:paraId="6A8495D1" w14:textId="77777777" w:rsidR="00BE6986" w:rsidRDefault="00BE6986">
      <w:pPr>
        <w:jc w:val="both"/>
      </w:pPr>
    </w:p>
    <w:p w14:paraId="7B746AF5" w14:textId="77777777" w:rsidR="00BE6986" w:rsidRDefault="00BE6986">
      <w:pPr>
        <w:jc w:val="both"/>
      </w:pPr>
    </w:p>
    <w:p w14:paraId="3C3838C2" w14:textId="77777777" w:rsidR="00BE6986" w:rsidRDefault="0047414E">
      <w:pPr>
        <w:jc w:val="both"/>
        <w:rPr>
          <w:b/>
        </w:rPr>
      </w:pPr>
      <w:r>
        <w:rPr>
          <w:b/>
        </w:rPr>
        <w:t xml:space="preserve">To summarize the above </w:t>
      </w:r>
      <w:proofErr w:type="gramStart"/>
      <w:r>
        <w:rPr>
          <w:b/>
        </w:rPr>
        <w:t>findings</w:t>
      </w:r>
      <w:proofErr w:type="gramEnd"/>
      <w:r>
        <w:rPr>
          <w:b/>
        </w:rPr>
        <w:t xml:space="preserve"> it seems that the use of daily betas could be recommended the most.</w:t>
      </w:r>
      <w:r>
        <w:t xml:space="preserve"> We also see why </w:t>
      </w:r>
      <w:r>
        <w:t xml:space="preserve">the fact that </w:t>
      </w:r>
      <w:proofErr w:type="spellStart"/>
      <w:r>
        <w:t>YahooFinance</w:t>
      </w:r>
      <w:proofErr w:type="spellEnd"/>
      <w:r>
        <w:t xml:space="preserve"> uses monthly beta is a poor choice: it gives more random, more scattered beta estimators. But, until now, we did not deal with the reliability of these betas. As it could be read in the Background chapter, the </w:t>
      </w:r>
      <w:hyperlink r:id="rId37">
        <w:r>
          <w:rPr>
            <w:b/>
            <w:color w:val="1155CC"/>
            <w:u w:val="single"/>
          </w:rPr>
          <w:t>coefficient of determination</w:t>
        </w:r>
      </w:hyperlink>
      <w:r>
        <w:rPr>
          <w:b/>
        </w:rPr>
        <w:t xml:space="preserve"> (R</w:t>
      </w:r>
      <w:r>
        <w:rPr>
          <w:b/>
          <w:vertAlign w:val="superscript"/>
        </w:rPr>
        <w:t>2</w:t>
      </w:r>
      <w:r>
        <w:rPr>
          <w:b/>
        </w:rPr>
        <w:t xml:space="preserve"> or R-squared)</w:t>
      </w:r>
      <w:r>
        <w:t xml:space="preserve"> can help us to </w:t>
      </w:r>
      <w:r>
        <w:rPr>
          <w:b/>
        </w:rPr>
        <w:t>validate the estimated beta and it tells us how 'useful' the calculated beta is in practice for prediction purposes.</w:t>
      </w:r>
      <w:r>
        <w:t xml:space="preserve"> In this case, as t</w:t>
      </w:r>
      <w:r>
        <w:t xml:space="preserve">here is only one dependent (return of the stock) and one independent variable (return of the market), this is </w:t>
      </w:r>
      <w:r>
        <w:rPr>
          <w:b/>
        </w:rPr>
        <w:t xml:space="preserve">simply the square of the sample correlation coefficient (i.e. </w:t>
      </w:r>
      <w:r>
        <w:rPr>
          <w:b/>
          <w:i/>
        </w:rPr>
        <w:t>r</w:t>
      </w:r>
      <w:r>
        <w:rPr>
          <w:b/>
        </w:rPr>
        <w:t>)</w:t>
      </w:r>
      <w:r>
        <w:t xml:space="preserve"> between the returns of the stock and the returns of the market. Why could be this</w:t>
      </w:r>
      <w:r>
        <w:t xml:space="preserve"> R-squared (its value is between 0 and 1 or 0% and 100%) help us? When its </w:t>
      </w:r>
      <w:r>
        <w:rPr>
          <w:b/>
        </w:rPr>
        <w:t>value is high (e.g. above 64%), it means that the past returns of the stock and the market are highly correlated (above 0.8), thus it can be expected (with limitations) that these r</w:t>
      </w:r>
      <w:r>
        <w:rPr>
          <w:b/>
        </w:rPr>
        <w:t>eturns will move almost together in the near future as well</w:t>
      </w:r>
      <w:r>
        <w:t xml:space="preserve">. </w:t>
      </w:r>
      <w:proofErr w:type="gramStart"/>
      <w:r>
        <w:t>So</w:t>
      </w:r>
      <w:proofErr w:type="gramEnd"/>
      <w:r>
        <w:t xml:space="preserve"> the </w:t>
      </w:r>
      <w:r>
        <w:rPr>
          <w:b/>
        </w:rPr>
        <w:t>estimated beta could be really useful</w:t>
      </w:r>
      <w:r>
        <w:t xml:space="preserve">. At the other extreme, when </w:t>
      </w:r>
      <w:r>
        <w:rPr>
          <w:b/>
        </w:rPr>
        <w:t xml:space="preserve">R-squared is really low (e.g. below 25%), it means that the past returns of the stock and the market do </w:t>
      </w:r>
      <w:proofErr w:type="gramStart"/>
      <w:r>
        <w:rPr>
          <w:b/>
        </w:rPr>
        <w:t>not  correlate</w:t>
      </w:r>
      <w:proofErr w:type="gramEnd"/>
      <w:r>
        <w:rPr>
          <w:b/>
        </w:rPr>
        <w:t xml:space="preserve"> eno</w:t>
      </w:r>
      <w:r>
        <w:rPr>
          <w:b/>
        </w:rPr>
        <w:t>ugh (below 0.5 which is not sufficient in case of time series), thus the estimated beta could be useless.</w:t>
      </w:r>
    </w:p>
    <w:p w14:paraId="53E638C7" w14:textId="77777777" w:rsidR="00BE6986" w:rsidRDefault="00BE6986">
      <w:pPr>
        <w:jc w:val="both"/>
        <w:rPr>
          <w:b/>
        </w:rPr>
      </w:pPr>
    </w:p>
    <w:p w14:paraId="421CFD04" w14:textId="77777777" w:rsidR="00BE6986" w:rsidRDefault="0047414E">
      <w:pPr>
        <w:jc w:val="both"/>
      </w:pPr>
      <w:r>
        <w:t xml:space="preserve">Chart 5a-f and Chart 6a-d contain the </w:t>
      </w:r>
      <w:r>
        <w:rPr>
          <w:b/>
        </w:rPr>
        <w:t>distributions of these R-squared values</w:t>
      </w:r>
      <w:r>
        <w:t xml:space="preserve"> - exactly as beta coefficients were shown in Chart 3a-f and Chart 4a-d above. Based on these charts, someone can conclude that in case of </w:t>
      </w:r>
      <w:proofErr w:type="spellStart"/>
      <w:r>
        <w:rPr>
          <w:b/>
        </w:rPr>
        <w:t>GameChanger</w:t>
      </w:r>
      <w:proofErr w:type="spellEnd"/>
      <w:r>
        <w:rPr>
          <w:b/>
        </w:rPr>
        <w:t xml:space="preserve"> stocks</w:t>
      </w:r>
      <w:r>
        <w:t>:</w:t>
      </w:r>
    </w:p>
    <w:p w14:paraId="6D234A4F" w14:textId="77777777" w:rsidR="00BE6986" w:rsidRDefault="0047414E">
      <w:pPr>
        <w:numPr>
          <w:ilvl w:val="0"/>
          <w:numId w:val="5"/>
        </w:numPr>
        <w:spacing w:before="100" w:line="273" w:lineRule="auto"/>
        <w:jc w:val="both"/>
        <w:rPr>
          <w:b/>
        </w:rPr>
      </w:pPr>
      <w:r>
        <w:rPr>
          <w:b/>
        </w:rPr>
        <w:t>daily- and weekly betas have higher R</w:t>
      </w:r>
      <w:r>
        <w:rPr>
          <w:b/>
          <w:vertAlign w:val="superscript"/>
        </w:rPr>
        <w:t>2</w:t>
      </w:r>
      <w:r>
        <w:rPr>
          <w:b/>
        </w:rPr>
        <w:t xml:space="preserve"> on average and their distributions are less “flat”;</w:t>
      </w:r>
    </w:p>
    <w:p w14:paraId="7DE699F4" w14:textId="77777777" w:rsidR="00BE6986" w:rsidRDefault="0047414E">
      <w:pPr>
        <w:numPr>
          <w:ilvl w:val="0"/>
          <w:numId w:val="5"/>
        </w:numPr>
        <w:spacing w:before="100" w:line="273" w:lineRule="auto"/>
        <w:jc w:val="both"/>
      </w:pPr>
      <w:r>
        <w:rPr>
          <w:b/>
        </w:rPr>
        <w:t>R</w:t>
      </w:r>
      <w:r>
        <w:rPr>
          <w:b/>
          <w:vertAlign w:val="superscript"/>
        </w:rPr>
        <w:t>2</w:t>
      </w:r>
      <w:r>
        <w:rPr>
          <w:b/>
        </w:rPr>
        <w:t xml:space="preserve"> is </w:t>
      </w:r>
      <w:r>
        <w:rPr>
          <w:b/>
        </w:rPr>
        <w:t>higher using longer lookback period</w:t>
      </w:r>
      <w:r>
        <w:t>;</w:t>
      </w:r>
    </w:p>
    <w:p w14:paraId="12AD1D28" w14:textId="77777777" w:rsidR="00BE6986" w:rsidRDefault="0047414E">
      <w:pPr>
        <w:numPr>
          <w:ilvl w:val="0"/>
          <w:numId w:val="5"/>
        </w:numPr>
        <w:spacing w:before="100" w:line="273" w:lineRule="auto"/>
        <w:jc w:val="both"/>
      </w:pPr>
      <w:r>
        <w:rPr>
          <w:b/>
        </w:rPr>
        <w:t>R</w:t>
      </w:r>
      <w:r>
        <w:rPr>
          <w:b/>
          <w:vertAlign w:val="superscript"/>
        </w:rPr>
        <w:t>2</w:t>
      </w:r>
      <w:r>
        <w:rPr>
          <w:b/>
        </w:rPr>
        <w:t xml:space="preserve"> is higher if QQQ is the benchmark rather than SPY. Therefore, the QQQ-beta number is more useful than the SPY-beta. We should use that. This is expected because the </w:t>
      </w:r>
      <w:proofErr w:type="spellStart"/>
      <w:r>
        <w:rPr>
          <w:b/>
        </w:rPr>
        <w:t>GameChanger</w:t>
      </w:r>
      <w:proofErr w:type="spellEnd"/>
      <w:r>
        <w:rPr>
          <w:b/>
        </w:rPr>
        <w:t xml:space="preserve"> stocks are in technology sector. Note t</w:t>
      </w:r>
      <w:r>
        <w:rPr>
          <w:b/>
        </w:rPr>
        <w:t xml:space="preserve">hat </w:t>
      </w:r>
      <w:proofErr w:type="spellStart"/>
      <w:r>
        <w:rPr>
          <w:b/>
        </w:rPr>
        <w:t>YahooFinance</w:t>
      </w:r>
      <w:proofErr w:type="spellEnd"/>
      <w:r>
        <w:rPr>
          <w:b/>
        </w:rPr>
        <w:t xml:space="preserve"> only calculates the SPY-beta.</w:t>
      </w:r>
    </w:p>
    <w:p w14:paraId="16443038" w14:textId="77777777" w:rsidR="00BE6986" w:rsidRDefault="0047414E">
      <w:pPr>
        <w:numPr>
          <w:ilvl w:val="0"/>
          <w:numId w:val="5"/>
        </w:numPr>
        <w:spacing w:before="100" w:line="273" w:lineRule="auto"/>
        <w:jc w:val="both"/>
        <w:rPr>
          <w:b/>
        </w:rPr>
      </w:pPr>
      <w:r>
        <w:rPr>
          <w:b/>
        </w:rPr>
        <w:t xml:space="preserve">For individual </w:t>
      </w:r>
      <w:proofErr w:type="spellStart"/>
      <w:r>
        <w:rPr>
          <w:b/>
        </w:rPr>
        <w:t>GameChanger</w:t>
      </w:r>
      <w:proofErr w:type="spellEnd"/>
      <w:r>
        <w:rPr>
          <w:b/>
        </w:rPr>
        <w:t xml:space="preserve"> stocks, the R</w:t>
      </w:r>
      <w:r>
        <w:rPr>
          <w:b/>
          <w:vertAlign w:val="superscript"/>
        </w:rPr>
        <w:t>2</w:t>
      </w:r>
      <w:r>
        <w:rPr>
          <w:b/>
        </w:rPr>
        <w:t>s are generally less than 0.5. Even in the QQQ case. This means the stocks and the QQQ do not correlate enough. Pessimists can say that the calculated beta could be use</w:t>
      </w:r>
      <w:r>
        <w:rPr>
          <w:b/>
        </w:rPr>
        <w:t xml:space="preserve">less. Nevertheless, this is what can be calculated from the past. That is the best it is </w:t>
      </w:r>
      <w:r>
        <w:rPr>
          <w:b/>
        </w:rPr>
        <w:lastRenderedPageBreak/>
        <w:t>possible to do. Even though the R</w:t>
      </w:r>
      <w:r>
        <w:rPr>
          <w:b/>
          <w:vertAlign w:val="superscript"/>
        </w:rPr>
        <w:t>2</w:t>
      </w:r>
      <w:r>
        <w:rPr>
          <w:b/>
        </w:rPr>
        <w:t>s are not very high, we can use these betas, but do not expect very precise future stock %change estimation compared to the benchmark</w:t>
      </w:r>
      <w:r>
        <w:rPr>
          <w:b/>
        </w:rPr>
        <w:t xml:space="preserve"> %change. Note that, if instead of individual </w:t>
      </w:r>
      <w:proofErr w:type="spellStart"/>
      <w:r>
        <w:rPr>
          <w:b/>
        </w:rPr>
        <w:t>GameChanger</w:t>
      </w:r>
      <w:proofErr w:type="spellEnd"/>
      <w:r>
        <w:rPr>
          <w:b/>
        </w:rPr>
        <w:t xml:space="preserve"> stocks, we aggregate the </w:t>
      </w:r>
      <w:proofErr w:type="spellStart"/>
      <w:r>
        <w:rPr>
          <w:b/>
        </w:rPr>
        <w:t>GameChangers</w:t>
      </w:r>
      <w:proofErr w:type="spellEnd"/>
      <w:r>
        <w:rPr>
          <w:b/>
        </w:rPr>
        <w:t xml:space="preserve"> into a portfolio, the situation will be much better. More about it later.</w:t>
      </w:r>
    </w:p>
    <w:p w14:paraId="50FAA005" w14:textId="77777777" w:rsidR="00BE6986" w:rsidRDefault="00BE6986">
      <w:pPr>
        <w:spacing w:before="100" w:line="273" w:lineRule="auto"/>
        <w:jc w:val="both"/>
        <w:rPr>
          <w:color w:val="222222"/>
          <w:highlight w:val="white"/>
        </w:rPr>
      </w:pPr>
    </w:p>
    <w:p w14:paraId="39D9CB30" w14:textId="77777777" w:rsidR="00BE6986" w:rsidRDefault="0047414E">
      <w:pPr>
        <w:spacing w:before="100" w:line="273" w:lineRule="auto"/>
        <w:jc w:val="both"/>
      </w:pPr>
      <w:r>
        <w:rPr>
          <w:color w:val="222222"/>
          <w:highlight w:val="white"/>
        </w:rPr>
        <w:t>Actually,</w:t>
      </w:r>
      <w:r>
        <w:rPr>
          <w:b/>
          <w:color w:val="222222"/>
          <w:highlight w:val="white"/>
        </w:rPr>
        <w:t xml:space="preserve"> every time we calculate the beta number, we should show the </w:t>
      </w:r>
      <w:r>
        <w:rPr>
          <w:b/>
        </w:rPr>
        <w:t>R</w:t>
      </w:r>
      <w:r>
        <w:rPr>
          <w:b/>
          <w:vertAlign w:val="superscript"/>
        </w:rPr>
        <w:t>2</w:t>
      </w:r>
      <w:r>
        <w:rPr>
          <w:b/>
          <w:color w:val="222222"/>
          <w:highlight w:val="white"/>
        </w:rPr>
        <w:t xml:space="preserve"> value as wel</w:t>
      </w:r>
      <w:r>
        <w:rPr>
          <w:color w:val="222222"/>
          <w:highlight w:val="white"/>
        </w:rPr>
        <w:t>l to the user next to the beta. It would show how reliable is the calculated beta.</w:t>
      </w:r>
    </w:p>
    <w:p w14:paraId="7354D570" w14:textId="77777777" w:rsidR="00BE6986" w:rsidRDefault="00BE6986">
      <w:pPr>
        <w:jc w:val="center"/>
        <w:rPr>
          <w:sz w:val="18"/>
          <w:szCs w:val="18"/>
        </w:rPr>
      </w:pPr>
    </w:p>
    <w:p w14:paraId="188D2433" w14:textId="77777777" w:rsidR="00BE6986" w:rsidRDefault="0047414E">
      <w:pPr>
        <w:jc w:val="center"/>
      </w:pPr>
      <w:r>
        <w:rPr>
          <w:sz w:val="18"/>
          <w:szCs w:val="18"/>
        </w:rPr>
        <w:t xml:space="preserve">Chart 5a: Distribution of R-Squared of </w:t>
      </w:r>
      <w:proofErr w:type="spellStart"/>
      <w:r>
        <w:rPr>
          <w:sz w:val="18"/>
          <w:szCs w:val="18"/>
        </w:rPr>
        <w:t>GameChangers</w:t>
      </w:r>
      <w:proofErr w:type="spellEnd"/>
      <w:r>
        <w:rPr>
          <w:sz w:val="18"/>
          <w:szCs w:val="18"/>
        </w:rPr>
        <w:t xml:space="preserve"> using Daily Returns in Comparison to QQQ - different lookback period</w:t>
      </w:r>
    </w:p>
    <w:p w14:paraId="79B26B67" w14:textId="77777777" w:rsidR="00BE6986" w:rsidRDefault="0047414E">
      <w:pPr>
        <w:jc w:val="both"/>
      </w:pPr>
      <w:r>
        <w:rPr>
          <w:noProof/>
        </w:rPr>
        <w:drawing>
          <wp:inline distT="114300" distB="114300" distL="114300" distR="114300" wp14:anchorId="3FD69023" wp14:editId="25645D17">
            <wp:extent cx="7052400" cy="3467100"/>
            <wp:effectExtent l="0" t="0" r="0" b="0"/>
            <wp:docPr id="58"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38"/>
                    <a:srcRect/>
                    <a:stretch>
                      <a:fillRect/>
                    </a:stretch>
                  </pic:blipFill>
                  <pic:spPr>
                    <a:xfrm>
                      <a:off x="0" y="0"/>
                      <a:ext cx="7052400" cy="3467100"/>
                    </a:xfrm>
                    <a:prstGeom prst="rect">
                      <a:avLst/>
                    </a:prstGeom>
                    <a:ln/>
                  </pic:spPr>
                </pic:pic>
              </a:graphicData>
            </a:graphic>
          </wp:inline>
        </w:drawing>
      </w:r>
    </w:p>
    <w:p w14:paraId="4CCF3512" w14:textId="77777777" w:rsidR="00BE6986" w:rsidRDefault="0047414E">
      <w:pPr>
        <w:jc w:val="center"/>
      </w:pPr>
      <w:r>
        <w:rPr>
          <w:sz w:val="18"/>
          <w:szCs w:val="18"/>
        </w:rPr>
        <w:t xml:space="preserve">Chart 5b: Distribution of R-Squared of </w:t>
      </w:r>
      <w:proofErr w:type="spellStart"/>
      <w:r>
        <w:rPr>
          <w:sz w:val="18"/>
          <w:szCs w:val="18"/>
        </w:rPr>
        <w:t>GameChange</w:t>
      </w:r>
      <w:r>
        <w:rPr>
          <w:sz w:val="18"/>
          <w:szCs w:val="18"/>
        </w:rPr>
        <w:t>rs</w:t>
      </w:r>
      <w:proofErr w:type="spellEnd"/>
      <w:r>
        <w:rPr>
          <w:sz w:val="18"/>
          <w:szCs w:val="18"/>
        </w:rPr>
        <w:t xml:space="preserve"> using Daily Returns in Comparison to SPY - different lookback period</w:t>
      </w:r>
    </w:p>
    <w:p w14:paraId="4433C7AF" w14:textId="77777777" w:rsidR="00BE6986" w:rsidRDefault="0047414E">
      <w:pPr>
        <w:jc w:val="both"/>
      </w:pPr>
      <w:r>
        <w:rPr>
          <w:noProof/>
        </w:rPr>
        <w:drawing>
          <wp:inline distT="114300" distB="114300" distL="114300" distR="114300" wp14:anchorId="1654150C" wp14:editId="32B83118">
            <wp:extent cx="7052400" cy="3479800"/>
            <wp:effectExtent l="0" t="0" r="0" b="0"/>
            <wp:docPr id="3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9"/>
                    <a:srcRect/>
                    <a:stretch>
                      <a:fillRect/>
                    </a:stretch>
                  </pic:blipFill>
                  <pic:spPr>
                    <a:xfrm>
                      <a:off x="0" y="0"/>
                      <a:ext cx="7052400" cy="3479800"/>
                    </a:xfrm>
                    <a:prstGeom prst="rect">
                      <a:avLst/>
                    </a:prstGeom>
                    <a:ln/>
                  </pic:spPr>
                </pic:pic>
              </a:graphicData>
            </a:graphic>
          </wp:inline>
        </w:drawing>
      </w:r>
    </w:p>
    <w:p w14:paraId="11805DBE" w14:textId="77777777" w:rsidR="00BE6986" w:rsidRDefault="0047414E">
      <w:pPr>
        <w:jc w:val="center"/>
      </w:pPr>
      <w:r>
        <w:rPr>
          <w:sz w:val="18"/>
          <w:szCs w:val="18"/>
        </w:rPr>
        <w:t xml:space="preserve">Chart 5c: Distribution of R-Squared of </w:t>
      </w:r>
      <w:proofErr w:type="spellStart"/>
      <w:r>
        <w:rPr>
          <w:sz w:val="18"/>
          <w:szCs w:val="18"/>
        </w:rPr>
        <w:t>GameChangers</w:t>
      </w:r>
      <w:proofErr w:type="spellEnd"/>
      <w:r>
        <w:rPr>
          <w:sz w:val="18"/>
          <w:szCs w:val="18"/>
        </w:rPr>
        <w:t xml:space="preserve"> using Weekly Returns in Comparison to QQQ - different lookback period</w:t>
      </w:r>
    </w:p>
    <w:p w14:paraId="0498FB59" w14:textId="77777777" w:rsidR="00BE6986" w:rsidRDefault="0047414E">
      <w:pPr>
        <w:jc w:val="both"/>
      </w:pPr>
      <w:r>
        <w:rPr>
          <w:noProof/>
        </w:rPr>
        <w:lastRenderedPageBreak/>
        <w:drawing>
          <wp:inline distT="114300" distB="114300" distL="114300" distR="114300" wp14:anchorId="5F404759" wp14:editId="3FFE152C">
            <wp:extent cx="7052400" cy="3479800"/>
            <wp:effectExtent l="0" t="0" r="0" b="0"/>
            <wp:docPr id="3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0"/>
                    <a:srcRect/>
                    <a:stretch>
                      <a:fillRect/>
                    </a:stretch>
                  </pic:blipFill>
                  <pic:spPr>
                    <a:xfrm>
                      <a:off x="0" y="0"/>
                      <a:ext cx="7052400" cy="3479800"/>
                    </a:xfrm>
                    <a:prstGeom prst="rect">
                      <a:avLst/>
                    </a:prstGeom>
                    <a:ln/>
                  </pic:spPr>
                </pic:pic>
              </a:graphicData>
            </a:graphic>
          </wp:inline>
        </w:drawing>
      </w:r>
    </w:p>
    <w:p w14:paraId="7BEF3715" w14:textId="77777777" w:rsidR="00BE6986" w:rsidRDefault="00BE6986">
      <w:pPr>
        <w:jc w:val="center"/>
        <w:rPr>
          <w:sz w:val="18"/>
          <w:szCs w:val="18"/>
        </w:rPr>
      </w:pPr>
    </w:p>
    <w:p w14:paraId="232111D9" w14:textId="77777777" w:rsidR="00BE6986" w:rsidRDefault="0047414E">
      <w:pPr>
        <w:jc w:val="center"/>
      </w:pPr>
      <w:r>
        <w:rPr>
          <w:sz w:val="18"/>
          <w:szCs w:val="18"/>
        </w:rPr>
        <w:t xml:space="preserve">Chart 5d: Distribution of R-Squared of </w:t>
      </w:r>
      <w:proofErr w:type="spellStart"/>
      <w:r>
        <w:rPr>
          <w:sz w:val="18"/>
          <w:szCs w:val="18"/>
        </w:rPr>
        <w:t>GameChangers</w:t>
      </w:r>
      <w:proofErr w:type="spellEnd"/>
      <w:r>
        <w:rPr>
          <w:sz w:val="18"/>
          <w:szCs w:val="18"/>
        </w:rPr>
        <w:t xml:space="preserve"> using</w:t>
      </w:r>
      <w:r>
        <w:rPr>
          <w:sz w:val="18"/>
          <w:szCs w:val="18"/>
        </w:rPr>
        <w:t xml:space="preserve"> Weekly Returns in Comparison to SPY - different lookback period</w:t>
      </w:r>
    </w:p>
    <w:p w14:paraId="46B676FE" w14:textId="77777777" w:rsidR="00BE6986" w:rsidRDefault="0047414E">
      <w:pPr>
        <w:jc w:val="both"/>
      </w:pPr>
      <w:r>
        <w:rPr>
          <w:noProof/>
        </w:rPr>
        <w:drawing>
          <wp:inline distT="114300" distB="114300" distL="114300" distR="114300" wp14:anchorId="117F0BC9" wp14:editId="51F3C67B">
            <wp:extent cx="7052400" cy="3467100"/>
            <wp:effectExtent l="0" t="0" r="0" b="0"/>
            <wp:docPr id="1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1"/>
                    <a:srcRect/>
                    <a:stretch>
                      <a:fillRect/>
                    </a:stretch>
                  </pic:blipFill>
                  <pic:spPr>
                    <a:xfrm>
                      <a:off x="0" y="0"/>
                      <a:ext cx="7052400" cy="3467100"/>
                    </a:xfrm>
                    <a:prstGeom prst="rect">
                      <a:avLst/>
                    </a:prstGeom>
                    <a:ln/>
                  </pic:spPr>
                </pic:pic>
              </a:graphicData>
            </a:graphic>
          </wp:inline>
        </w:drawing>
      </w:r>
    </w:p>
    <w:p w14:paraId="60FFBAD9" w14:textId="77777777" w:rsidR="00BE6986" w:rsidRDefault="00BE6986">
      <w:pPr>
        <w:jc w:val="center"/>
        <w:rPr>
          <w:sz w:val="18"/>
          <w:szCs w:val="18"/>
        </w:rPr>
      </w:pPr>
    </w:p>
    <w:p w14:paraId="4DB00919" w14:textId="77777777" w:rsidR="00BE6986" w:rsidRDefault="00BE6986">
      <w:pPr>
        <w:jc w:val="center"/>
        <w:rPr>
          <w:sz w:val="18"/>
          <w:szCs w:val="18"/>
        </w:rPr>
      </w:pPr>
    </w:p>
    <w:p w14:paraId="7559DDFE" w14:textId="77777777" w:rsidR="00BE6986" w:rsidRDefault="0047414E">
      <w:pPr>
        <w:jc w:val="center"/>
        <w:rPr>
          <w:sz w:val="18"/>
          <w:szCs w:val="18"/>
        </w:rPr>
      </w:pPr>
      <w:r>
        <w:br w:type="page"/>
      </w:r>
    </w:p>
    <w:p w14:paraId="13A65848" w14:textId="77777777" w:rsidR="00BE6986" w:rsidRDefault="0047414E">
      <w:pPr>
        <w:jc w:val="center"/>
      </w:pPr>
      <w:r>
        <w:rPr>
          <w:sz w:val="18"/>
          <w:szCs w:val="18"/>
        </w:rPr>
        <w:lastRenderedPageBreak/>
        <w:t xml:space="preserve">Chart 5e: Distribution of R-Squared of </w:t>
      </w:r>
      <w:proofErr w:type="spellStart"/>
      <w:r>
        <w:rPr>
          <w:sz w:val="18"/>
          <w:szCs w:val="18"/>
        </w:rPr>
        <w:t>GameChangers</w:t>
      </w:r>
      <w:proofErr w:type="spellEnd"/>
      <w:r>
        <w:rPr>
          <w:sz w:val="18"/>
          <w:szCs w:val="18"/>
        </w:rPr>
        <w:t xml:space="preserve"> using Monthly Returns in Comparison to QQQ - different lookback period</w:t>
      </w:r>
    </w:p>
    <w:p w14:paraId="6F957122" w14:textId="77777777" w:rsidR="00BE6986" w:rsidRDefault="0047414E">
      <w:pPr>
        <w:jc w:val="both"/>
      </w:pPr>
      <w:r>
        <w:rPr>
          <w:noProof/>
        </w:rPr>
        <w:drawing>
          <wp:inline distT="114300" distB="114300" distL="114300" distR="114300" wp14:anchorId="101239D3" wp14:editId="2640FEAA">
            <wp:extent cx="7052400" cy="3479800"/>
            <wp:effectExtent l="0" t="0" r="0" b="0"/>
            <wp:docPr id="39"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42"/>
                    <a:srcRect/>
                    <a:stretch>
                      <a:fillRect/>
                    </a:stretch>
                  </pic:blipFill>
                  <pic:spPr>
                    <a:xfrm>
                      <a:off x="0" y="0"/>
                      <a:ext cx="7052400" cy="3479800"/>
                    </a:xfrm>
                    <a:prstGeom prst="rect">
                      <a:avLst/>
                    </a:prstGeom>
                    <a:ln/>
                  </pic:spPr>
                </pic:pic>
              </a:graphicData>
            </a:graphic>
          </wp:inline>
        </w:drawing>
      </w:r>
    </w:p>
    <w:p w14:paraId="53222148" w14:textId="77777777" w:rsidR="00BE6986" w:rsidRDefault="00BE6986">
      <w:pPr>
        <w:jc w:val="center"/>
        <w:rPr>
          <w:sz w:val="18"/>
          <w:szCs w:val="18"/>
        </w:rPr>
      </w:pPr>
    </w:p>
    <w:p w14:paraId="5F63B1C7" w14:textId="77777777" w:rsidR="00BE6986" w:rsidRDefault="0047414E">
      <w:pPr>
        <w:jc w:val="center"/>
      </w:pPr>
      <w:r>
        <w:rPr>
          <w:sz w:val="18"/>
          <w:szCs w:val="18"/>
        </w:rPr>
        <w:t xml:space="preserve">Chart 5f: Distribution of R-Squared of </w:t>
      </w:r>
      <w:proofErr w:type="spellStart"/>
      <w:r>
        <w:rPr>
          <w:sz w:val="18"/>
          <w:szCs w:val="18"/>
        </w:rPr>
        <w:t>GameChangers</w:t>
      </w:r>
      <w:proofErr w:type="spellEnd"/>
      <w:r>
        <w:rPr>
          <w:sz w:val="18"/>
          <w:szCs w:val="18"/>
        </w:rPr>
        <w:t xml:space="preserve"> using Monthly Returns in Comparison to SPY - different lookback period</w:t>
      </w:r>
    </w:p>
    <w:p w14:paraId="0EA80B58" w14:textId="77777777" w:rsidR="00BE6986" w:rsidRDefault="0047414E">
      <w:pPr>
        <w:jc w:val="both"/>
      </w:pPr>
      <w:r>
        <w:rPr>
          <w:noProof/>
        </w:rPr>
        <w:drawing>
          <wp:inline distT="114300" distB="114300" distL="114300" distR="114300" wp14:anchorId="26767D47" wp14:editId="2AB0C524">
            <wp:extent cx="7052400" cy="3479800"/>
            <wp:effectExtent l="0" t="0" r="0" b="0"/>
            <wp:docPr id="43"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43"/>
                    <a:srcRect/>
                    <a:stretch>
                      <a:fillRect/>
                    </a:stretch>
                  </pic:blipFill>
                  <pic:spPr>
                    <a:xfrm>
                      <a:off x="0" y="0"/>
                      <a:ext cx="7052400" cy="3479800"/>
                    </a:xfrm>
                    <a:prstGeom prst="rect">
                      <a:avLst/>
                    </a:prstGeom>
                    <a:ln/>
                  </pic:spPr>
                </pic:pic>
              </a:graphicData>
            </a:graphic>
          </wp:inline>
        </w:drawing>
      </w:r>
    </w:p>
    <w:p w14:paraId="5FC7DF98" w14:textId="77777777" w:rsidR="00BE6986" w:rsidRDefault="00BE6986">
      <w:pPr>
        <w:jc w:val="center"/>
        <w:rPr>
          <w:sz w:val="18"/>
          <w:szCs w:val="18"/>
        </w:rPr>
      </w:pPr>
    </w:p>
    <w:p w14:paraId="11D9C601" w14:textId="77777777" w:rsidR="00BE6986" w:rsidRDefault="00BE6986">
      <w:pPr>
        <w:jc w:val="center"/>
        <w:rPr>
          <w:sz w:val="18"/>
          <w:szCs w:val="18"/>
        </w:rPr>
      </w:pPr>
    </w:p>
    <w:p w14:paraId="6A8DCA89" w14:textId="77777777" w:rsidR="00BE6986" w:rsidRDefault="0047414E">
      <w:pPr>
        <w:jc w:val="center"/>
        <w:rPr>
          <w:sz w:val="18"/>
          <w:szCs w:val="18"/>
        </w:rPr>
      </w:pPr>
      <w:r>
        <w:br w:type="page"/>
      </w:r>
    </w:p>
    <w:p w14:paraId="5C9FD01F" w14:textId="77777777" w:rsidR="00BE6986" w:rsidRDefault="0047414E">
      <w:pPr>
        <w:jc w:val="center"/>
      </w:pPr>
      <w:r>
        <w:rPr>
          <w:sz w:val="18"/>
          <w:szCs w:val="18"/>
        </w:rPr>
        <w:lastRenderedPageBreak/>
        <w:t>C</w:t>
      </w:r>
      <w:r>
        <w:rPr>
          <w:sz w:val="18"/>
          <w:szCs w:val="18"/>
        </w:rPr>
        <w:t xml:space="preserve">hart 6a: Distribution of R-Squared of </w:t>
      </w:r>
      <w:proofErr w:type="spellStart"/>
      <w:r>
        <w:rPr>
          <w:sz w:val="18"/>
          <w:szCs w:val="18"/>
        </w:rPr>
        <w:t>GameChangers</w:t>
      </w:r>
      <w:proofErr w:type="spellEnd"/>
      <w:r>
        <w:rPr>
          <w:sz w:val="18"/>
          <w:szCs w:val="18"/>
        </w:rPr>
        <w:t xml:space="preserve"> using 5-Year Lookback Period in Comparison to QQQ - different return interval</w:t>
      </w:r>
    </w:p>
    <w:p w14:paraId="7A0013BE" w14:textId="77777777" w:rsidR="00BE6986" w:rsidRDefault="0047414E">
      <w:pPr>
        <w:jc w:val="both"/>
      </w:pPr>
      <w:r>
        <w:rPr>
          <w:noProof/>
        </w:rPr>
        <w:drawing>
          <wp:inline distT="114300" distB="114300" distL="114300" distR="114300" wp14:anchorId="5A87C055" wp14:editId="24EA56F2">
            <wp:extent cx="7052400" cy="3543300"/>
            <wp:effectExtent l="0" t="0" r="0" b="0"/>
            <wp:docPr id="2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4"/>
                    <a:srcRect/>
                    <a:stretch>
                      <a:fillRect/>
                    </a:stretch>
                  </pic:blipFill>
                  <pic:spPr>
                    <a:xfrm>
                      <a:off x="0" y="0"/>
                      <a:ext cx="7052400" cy="3543300"/>
                    </a:xfrm>
                    <a:prstGeom prst="rect">
                      <a:avLst/>
                    </a:prstGeom>
                    <a:ln/>
                  </pic:spPr>
                </pic:pic>
              </a:graphicData>
            </a:graphic>
          </wp:inline>
        </w:drawing>
      </w:r>
    </w:p>
    <w:p w14:paraId="70026219" w14:textId="77777777" w:rsidR="00BE6986" w:rsidRDefault="00BE6986">
      <w:pPr>
        <w:jc w:val="center"/>
        <w:rPr>
          <w:sz w:val="18"/>
          <w:szCs w:val="18"/>
        </w:rPr>
      </w:pPr>
    </w:p>
    <w:p w14:paraId="267A3F83" w14:textId="77777777" w:rsidR="00BE6986" w:rsidRDefault="0047414E">
      <w:pPr>
        <w:jc w:val="center"/>
      </w:pPr>
      <w:r>
        <w:rPr>
          <w:sz w:val="18"/>
          <w:szCs w:val="18"/>
        </w:rPr>
        <w:t xml:space="preserve">Chart 6b: Distribution of R-Squared of </w:t>
      </w:r>
      <w:proofErr w:type="spellStart"/>
      <w:r>
        <w:rPr>
          <w:sz w:val="18"/>
          <w:szCs w:val="18"/>
        </w:rPr>
        <w:t>GameChangers</w:t>
      </w:r>
      <w:proofErr w:type="spellEnd"/>
      <w:r>
        <w:rPr>
          <w:sz w:val="18"/>
          <w:szCs w:val="18"/>
        </w:rPr>
        <w:t xml:space="preserve"> using 5-Year Lookback Period in Comparison to SPY - different return int</w:t>
      </w:r>
      <w:r>
        <w:rPr>
          <w:sz w:val="18"/>
          <w:szCs w:val="18"/>
        </w:rPr>
        <w:t>erval</w:t>
      </w:r>
    </w:p>
    <w:p w14:paraId="3AE343C1" w14:textId="77777777" w:rsidR="00BE6986" w:rsidRDefault="0047414E">
      <w:pPr>
        <w:jc w:val="both"/>
      </w:pPr>
      <w:r>
        <w:rPr>
          <w:noProof/>
        </w:rPr>
        <w:drawing>
          <wp:inline distT="114300" distB="114300" distL="114300" distR="114300" wp14:anchorId="4D164221" wp14:editId="69F3B903">
            <wp:extent cx="7052400" cy="3543300"/>
            <wp:effectExtent l="0" t="0" r="0" b="0"/>
            <wp:docPr id="2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5"/>
                    <a:srcRect/>
                    <a:stretch>
                      <a:fillRect/>
                    </a:stretch>
                  </pic:blipFill>
                  <pic:spPr>
                    <a:xfrm>
                      <a:off x="0" y="0"/>
                      <a:ext cx="7052400" cy="3543300"/>
                    </a:xfrm>
                    <a:prstGeom prst="rect">
                      <a:avLst/>
                    </a:prstGeom>
                    <a:ln/>
                  </pic:spPr>
                </pic:pic>
              </a:graphicData>
            </a:graphic>
          </wp:inline>
        </w:drawing>
      </w:r>
    </w:p>
    <w:p w14:paraId="3BAB21AC" w14:textId="77777777" w:rsidR="00BE6986" w:rsidRDefault="00BE6986">
      <w:pPr>
        <w:jc w:val="center"/>
        <w:rPr>
          <w:sz w:val="18"/>
          <w:szCs w:val="18"/>
        </w:rPr>
      </w:pPr>
    </w:p>
    <w:p w14:paraId="2F37A62B" w14:textId="77777777" w:rsidR="00BE6986" w:rsidRDefault="00BE6986">
      <w:pPr>
        <w:jc w:val="center"/>
        <w:rPr>
          <w:sz w:val="18"/>
          <w:szCs w:val="18"/>
        </w:rPr>
      </w:pPr>
    </w:p>
    <w:p w14:paraId="04EE7B91" w14:textId="77777777" w:rsidR="00BE6986" w:rsidRDefault="0047414E">
      <w:pPr>
        <w:jc w:val="center"/>
        <w:rPr>
          <w:sz w:val="18"/>
          <w:szCs w:val="18"/>
        </w:rPr>
      </w:pPr>
      <w:r>
        <w:br w:type="page"/>
      </w:r>
    </w:p>
    <w:p w14:paraId="4C072924" w14:textId="77777777" w:rsidR="00BE6986" w:rsidRDefault="0047414E">
      <w:pPr>
        <w:jc w:val="center"/>
      </w:pPr>
      <w:r>
        <w:rPr>
          <w:sz w:val="18"/>
          <w:szCs w:val="18"/>
        </w:rPr>
        <w:lastRenderedPageBreak/>
        <w:t xml:space="preserve">Chart 6c: Distribution of R-Squared of </w:t>
      </w:r>
      <w:proofErr w:type="spellStart"/>
      <w:r>
        <w:rPr>
          <w:sz w:val="18"/>
          <w:szCs w:val="18"/>
        </w:rPr>
        <w:t>GameChangers</w:t>
      </w:r>
      <w:proofErr w:type="spellEnd"/>
      <w:r>
        <w:rPr>
          <w:sz w:val="18"/>
          <w:szCs w:val="18"/>
        </w:rPr>
        <w:t xml:space="preserve"> using 2-Year Lookback Period in Comparison to QQQ - different return interval</w:t>
      </w:r>
    </w:p>
    <w:p w14:paraId="49C21E26" w14:textId="77777777" w:rsidR="00BE6986" w:rsidRDefault="0047414E">
      <w:pPr>
        <w:jc w:val="both"/>
      </w:pPr>
      <w:r>
        <w:rPr>
          <w:noProof/>
        </w:rPr>
        <w:drawing>
          <wp:inline distT="114300" distB="114300" distL="114300" distR="114300" wp14:anchorId="460D9DCD" wp14:editId="136BA907">
            <wp:extent cx="7052400" cy="3556000"/>
            <wp:effectExtent l="0" t="0" r="0" b="0"/>
            <wp:docPr id="51"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46"/>
                    <a:srcRect/>
                    <a:stretch>
                      <a:fillRect/>
                    </a:stretch>
                  </pic:blipFill>
                  <pic:spPr>
                    <a:xfrm>
                      <a:off x="0" y="0"/>
                      <a:ext cx="7052400" cy="3556000"/>
                    </a:xfrm>
                    <a:prstGeom prst="rect">
                      <a:avLst/>
                    </a:prstGeom>
                    <a:ln/>
                  </pic:spPr>
                </pic:pic>
              </a:graphicData>
            </a:graphic>
          </wp:inline>
        </w:drawing>
      </w:r>
    </w:p>
    <w:p w14:paraId="370B6A00" w14:textId="77777777" w:rsidR="00BE6986" w:rsidRDefault="00BE6986">
      <w:pPr>
        <w:jc w:val="center"/>
        <w:rPr>
          <w:sz w:val="18"/>
          <w:szCs w:val="18"/>
        </w:rPr>
      </w:pPr>
    </w:p>
    <w:p w14:paraId="4BEE65CE" w14:textId="77777777" w:rsidR="00BE6986" w:rsidRDefault="0047414E">
      <w:pPr>
        <w:jc w:val="center"/>
      </w:pPr>
      <w:r>
        <w:rPr>
          <w:sz w:val="18"/>
          <w:szCs w:val="18"/>
        </w:rPr>
        <w:t xml:space="preserve">Chart 6d: Distribution of R-Squared of </w:t>
      </w:r>
      <w:proofErr w:type="spellStart"/>
      <w:r>
        <w:rPr>
          <w:sz w:val="18"/>
          <w:szCs w:val="18"/>
        </w:rPr>
        <w:t>GameChangers</w:t>
      </w:r>
      <w:proofErr w:type="spellEnd"/>
      <w:r>
        <w:rPr>
          <w:sz w:val="18"/>
          <w:szCs w:val="18"/>
        </w:rPr>
        <w:t xml:space="preserve"> using 2-Year Lookback Period in Comparison to SPY - different return in</w:t>
      </w:r>
      <w:r>
        <w:rPr>
          <w:sz w:val="18"/>
          <w:szCs w:val="18"/>
        </w:rPr>
        <w:t>terval</w:t>
      </w:r>
    </w:p>
    <w:p w14:paraId="13C46794" w14:textId="77777777" w:rsidR="00BE6986" w:rsidRDefault="0047414E">
      <w:pPr>
        <w:jc w:val="both"/>
      </w:pPr>
      <w:r>
        <w:rPr>
          <w:noProof/>
        </w:rPr>
        <w:drawing>
          <wp:inline distT="114300" distB="114300" distL="114300" distR="114300" wp14:anchorId="24402612" wp14:editId="4C0140AD">
            <wp:extent cx="7052400" cy="3543300"/>
            <wp:effectExtent l="0" t="0" r="0" b="0"/>
            <wp:docPr id="2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7"/>
                    <a:srcRect/>
                    <a:stretch>
                      <a:fillRect/>
                    </a:stretch>
                  </pic:blipFill>
                  <pic:spPr>
                    <a:xfrm>
                      <a:off x="0" y="0"/>
                      <a:ext cx="7052400" cy="3543300"/>
                    </a:xfrm>
                    <a:prstGeom prst="rect">
                      <a:avLst/>
                    </a:prstGeom>
                    <a:ln/>
                  </pic:spPr>
                </pic:pic>
              </a:graphicData>
            </a:graphic>
          </wp:inline>
        </w:drawing>
      </w:r>
    </w:p>
    <w:p w14:paraId="70C66723" w14:textId="77777777" w:rsidR="00BE6986" w:rsidRDefault="0047414E">
      <w:r>
        <w:br w:type="page"/>
      </w:r>
    </w:p>
    <w:p w14:paraId="066FA9C5" w14:textId="77777777" w:rsidR="00BE6986" w:rsidRDefault="0047414E">
      <w:pPr>
        <w:pStyle w:val="Heading2"/>
        <w:rPr>
          <w:color w:val="4A86E8"/>
          <w:sz w:val="28"/>
          <w:szCs w:val="28"/>
        </w:rPr>
      </w:pPr>
      <w:bookmarkStart w:id="10" w:name="_uojzfw7b98wc" w:colFirst="0" w:colLast="0"/>
      <w:bookmarkEnd w:id="10"/>
      <w:r>
        <w:rPr>
          <w:color w:val="4A86E8"/>
          <w:sz w:val="28"/>
          <w:szCs w:val="28"/>
        </w:rPr>
        <w:lastRenderedPageBreak/>
        <w:t xml:space="preserve">Estimating Beta for the Entire </w:t>
      </w:r>
      <w:proofErr w:type="spellStart"/>
      <w:r>
        <w:rPr>
          <w:color w:val="4A86E8"/>
          <w:sz w:val="28"/>
          <w:szCs w:val="28"/>
        </w:rPr>
        <w:t>GameChanger</w:t>
      </w:r>
      <w:proofErr w:type="spellEnd"/>
      <w:r>
        <w:rPr>
          <w:color w:val="4A86E8"/>
          <w:sz w:val="28"/>
          <w:szCs w:val="28"/>
        </w:rPr>
        <w:t xml:space="preserve"> Portfolio</w:t>
      </w:r>
    </w:p>
    <w:p w14:paraId="04D0AE61" w14:textId="77777777" w:rsidR="00BE6986" w:rsidRDefault="00BE6986"/>
    <w:p w14:paraId="54BE8179" w14:textId="77777777" w:rsidR="00BE6986" w:rsidRDefault="0047414E">
      <w:pPr>
        <w:jc w:val="both"/>
      </w:pPr>
      <w:r>
        <w:t xml:space="preserve">Until now, we have treated the </w:t>
      </w:r>
      <w:r>
        <w:rPr>
          <w:b/>
        </w:rPr>
        <w:t xml:space="preserve">individual </w:t>
      </w:r>
      <w:proofErr w:type="spellStart"/>
      <w:r>
        <w:rPr>
          <w:b/>
        </w:rPr>
        <w:t>GameChanger</w:t>
      </w:r>
      <w:proofErr w:type="spellEnd"/>
      <w:r>
        <w:rPr>
          <w:b/>
        </w:rPr>
        <w:t xml:space="preserve"> stocks separately</w:t>
      </w:r>
      <w:r>
        <w:t xml:space="preserve">. But our main goal is </w:t>
      </w:r>
      <w:r>
        <w:rPr>
          <w:b/>
        </w:rPr>
        <w:t xml:space="preserve">to hedge the entire </w:t>
      </w:r>
      <w:proofErr w:type="spellStart"/>
      <w:r>
        <w:rPr>
          <w:b/>
        </w:rPr>
        <w:t>GameChanger</w:t>
      </w:r>
      <w:proofErr w:type="spellEnd"/>
      <w:r>
        <w:rPr>
          <w:b/>
        </w:rPr>
        <w:t xml:space="preserve"> portfolio with QQQ put options</w:t>
      </w:r>
      <w:r>
        <w:t xml:space="preserve">. That’s why we should </w:t>
      </w:r>
      <w:r>
        <w:rPr>
          <w:b/>
        </w:rPr>
        <w:t>deal with th</w:t>
      </w:r>
      <w:r>
        <w:rPr>
          <w:b/>
        </w:rPr>
        <w:t>em together</w:t>
      </w:r>
      <w:r>
        <w:t xml:space="preserve"> and to do this, we have made a </w:t>
      </w:r>
      <w:r>
        <w:rPr>
          <w:b/>
        </w:rPr>
        <w:t>virtual stock</w:t>
      </w:r>
      <w:r>
        <w:t xml:space="preserve">, in which all </w:t>
      </w:r>
      <w:proofErr w:type="spellStart"/>
      <w:r>
        <w:t>GameChanger</w:t>
      </w:r>
      <w:proofErr w:type="spellEnd"/>
      <w:r>
        <w:t xml:space="preserve"> companies have </w:t>
      </w:r>
      <w:r>
        <w:rPr>
          <w:b/>
        </w:rPr>
        <w:t>equal weight</w:t>
      </w:r>
      <w:r>
        <w:t xml:space="preserve">: </w:t>
      </w:r>
      <w:proofErr w:type="spellStart"/>
      <w:r>
        <w:rPr>
          <w:b/>
        </w:rPr>
        <w:t>EqualWeighted</w:t>
      </w:r>
      <w:proofErr w:type="spellEnd"/>
      <w:r>
        <w:rPr>
          <w:b/>
        </w:rPr>
        <w:t xml:space="preserve"> </w:t>
      </w:r>
      <w:proofErr w:type="spellStart"/>
      <w:r>
        <w:rPr>
          <w:b/>
        </w:rPr>
        <w:t>GameChanger</w:t>
      </w:r>
      <w:proofErr w:type="spellEnd"/>
      <w:r>
        <w:rPr>
          <w:b/>
        </w:rPr>
        <w:t xml:space="preserve"> stock (</w:t>
      </w:r>
      <w:proofErr w:type="spellStart"/>
      <w:r>
        <w:rPr>
          <w:b/>
        </w:rPr>
        <w:t>EWGCh</w:t>
      </w:r>
      <w:proofErr w:type="spellEnd"/>
      <w:r>
        <w:rPr>
          <w:b/>
        </w:rPr>
        <w:t>)</w:t>
      </w:r>
      <w:r>
        <w:t>. In the following, we are dealing with this virtual stock.</w:t>
      </w:r>
    </w:p>
    <w:p w14:paraId="2B79EEAD" w14:textId="77777777" w:rsidR="00BE6986" w:rsidRDefault="00BE6986">
      <w:pPr>
        <w:jc w:val="both"/>
      </w:pPr>
    </w:p>
    <w:p w14:paraId="7FC63604" w14:textId="77777777" w:rsidR="00BE6986" w:rsidRDefault="0047414E">
      <w:pPr>
        <w:jc w:val="both"/>
      </w:pPr>
      <w:r>
        <w:t xml:space="preserve">What do we expect from this virtual stock? As our </w:t>
      </w:r>
      <w:proofErr w:type="spellStart"/>
      <w:r>
        <w:t>GameChanger</w:t>
      </w:r>
      <w:proofErr w:type="spellEnd"/>
      <w:r>
        <w:t xml:space="preserve"> stocks - because they have large market cap - have </w:t>
      </w:r>
      <w:r>
        <w:rPr>
          <w:b/>
        </w:rPr>
        <w:t>more than 50% total weight in QQQ</w:t>
      </w:r>
      <w:r>
        <w:t xml:space="preserve">, the virtual </w:t>
      </w:r>
      <w:proofErr w:type="spellStart"/>
      <w:r>
        <w:t>EqualWeighted</w:t>
      </w:r>
      <w:proofErr w:type="spellEnd"/>
      <w:r>
        <w:t xml:space="preserve"> </w:t>
      </w:r>
      <w:proofErr w:type="spellStart"/>
      <w:r>
        <w:t>GameChanger</w:t>
      </w:r>
      <w:proofErr w:type="spellEnd"/>
      <w:r>
        <w:t xml:space="preserve"> stock must have a </w:t>
      </w:r>
      <w:r>
        <w:rPr>
          <w:b/>
        </w:rPr>
        <w:t>much closer relationship (higher correlation)</w:t>
      </w:r>
      <w:r>
        <w:t xml:space="preserve"> with t</w:t>
      </w:r>
      <w:r>
        <w:t xml:space="preserve">he QQQ. Thus, its beta can be considered </w:t>
      </w:r>
      <w:r>
        <w:rPr>
          <w:b/>
        </w:rPr>
        <w:t>more reliable</w:t>
      </w:r>
      <w:r>
        <w:t xml:space="preserve"> than looking at company betas separately.</w:t>
      </w:r>
    </w:p>
    <w:p w14:paraId="7213291E" w14:textId="77777777" w:rsidR="00BE6986" w:rsidRDefault="00BE6986">
      <w:pPr>
        <w:jc w:val="both"/>
      </w:pPr>
    </w:p>
    <w:p w14:paraId="641D52DE" w14:textId="77777777" w:rsidR="00BE6986" w:rsidRDefault="0047414E">
      <w:pPr>
        <w:jc w:val="both"/>
      </w:pPr>
      <w:r>
        <w:t xml:space="preserve">Table 2a-b contain statistical indicators of estimated beta of the virtual </w:t>
      </w:r>
      <w:proofErr w:type="spellStart"/>
      <w:r>
        <w:t>EWGCh</w:t>
      </w:r>
      <w:proofErr w:type="spellEnd"/>
      <w:r>
        <w:t xml:space="preserve"> and its R-squared by benchmark (QQQ or SPY), return interval (daily, weekly o</w:t>
      </w:r>
      <w:r>
        <w:t>r monthly) and lookback period (2- and 5-year).</w:t>
      </w:r>
    </w:p>
    <w:p w14:paraId="5400E8F0" w14:textId="77777777" w:rsidR="00BE6986" w:rsidRDefault="00BE6986">
      <w:pPr>
        <w:jc w:val="both"/>
      </w:pPr>
    </w:p>
    <w:p w14:paraId="41F5144E" w14:textId="77777777" w:rsidR="00BE6986" w:rsidRDefault="0047414E">
      <w:pPr>
        <w:jc w:val="both"/>
      </w:pPr>
      <w:r>
        <w:t>Based on these tables it can be concluded that:</w:t>
      </w:r>
    </w:p>
    <w:p w14:paraId="7218DB5C" w14:textId="77777777" w:rsidR="00BE6986" w:rsidRDefault="0047414E">
      <w:pPr>
        <w:numPr>
          <w:ilvl w:val="0"/>
          <w:numId w:val="4"/>
        </w:numPr>
        <w:spacing w:before="120" w:line="273" w:lineRule="auto"/>
        <w:jc w:val="both"/>
        <w:rPr>
          <w:b/>
        </w:rPr>
      </w:pPr>
      <w:r>
        <w:rPr>
          <w:b/>
        </w:rPr>
        <w:t xml:space="preserve">the virtual </w:t>
      </w:r>
      <w:proofErr w:type="spellStart"/>
      <w:r>
        <w:rPr>
          <w:b/>
        </w:rPr>
        <w:t>EWGCh</w:t>
      </w:r>
      <w:proofErr w:type="spellEnd"/>
      <w:r>
        <w:rPr>
          <w:b/>
        </w:rPr>
        <w:t xml:space="preserve"> stock (and thus our </w:t>
      </w:r>
      <w:proofErr w:type="spellStart"/>
      <w:r>
        <w:rPr>
          <w:b/>
        </w:rPr>
        <w:t>GameChanger</w:t>
      </w:r>
      <w:proofErr w:type="spellEnd"/>
      <w:r>
        <w:rPr>
          <w:b/>
        </w:rPr>
        <w:t xml:space="preserve"> portfolio) should not be hedged with SPY put options as the reliability of betas in comparison to SPY is sign</w:t>
      </w:r>
      <w:r>
        <w:rPr>
          <w:b/>
        </w:rPr>
        <w:t>ificantly lower than in comparison to QQQ;</w:t>
      </w:r>
    </w:p>
    <w:p w14:paraId="3EA44F42" w14:textId="77777777" w:rsidR="00BE6986" w:rsidRDefault="0047414E">
      <w:pPr>
        <w:numPr>
          <w:ilvl w:val="0"/>
          <w:numId w:val="4"/>
        </w:numPr>
        <w:spacing w:before="120" w:line="273" w:lineRule="auto"/>
        <w:jc w:val="both"/>
        <w:rPr>
          <w:b/>
        </w:rPr>
      </w:pPr>
      <w:r>
        <w:rPr>
          <w:b/>
        </w:rPr>
        <w:t>the longer the lookback period, the lower the beta, but the difference is not significant;</w:t>
      </w:r>
    </w:p>
    <w:p w14:paraId="4081741D" w14:textId="77777777" w:rsidR="00BE6986" w:rsidRDefault="0047414E">
      <w:pPr>
        <w:numPr>
          <w:ilvl w:val="0"/>
          <w:numId w:val="4"/>
        </w:numPr>
        <w:spacing w:before="120" w:line="273" w:lineRule="auto"/>
        <w:jc w:val="both"/>
        <w:rPr>
          <w:b/>
        </w:rPr>
      </w:pPr>
      <w:r>
        <w:rPr>
          <w:b/>
        </w:rPr>
        <w:t>the longer the lookback period, the more reliable the beta, as more data is used. But this difference is also not signific</w:t>
      </w:r>
      <w:r>
        <w:rPr>
          <w:b/>
        </w:rPr>
        <w:t>ant.;</w:t>
      </w:r>
    </w:p>
    <w:p w14:paraId="41504DE8" w14:textId="77777777" w:rsidR="00BE6986" w:rsidRDefault="0047414E">
      <w:pPr>
        <w:numPr>
          <w:ilvl w:val="0"/>
          <w:numId w:val="4"/>
        </w:numPr>
        <w:spacing w:before="120" w:line="273" w:lineRule="auto"/>
        <w:jc w:val="both"/>
        <w:rPr>
          <w:b/>
        </w:rPr>
      </w:pPr>
      <w:r>
        <w:rPr>
          <w:b/>
        </w:rPr>
        <w:t xml:space="preserve">beta of the virtual </w:t>
      </w:r>
      <w:proofErr w:type="spellStart"/>
      <w:r>
        <w:rPr>
          <w:b/>
        </w:rPr>
        <w:t>EWGCh</w:t>
      </w:r>
      <w:proofErr w:type="spellEnd"/>
      <w:r>
        <w:rPr>
          <w:b/>
        </w:rPr>
        <w:t xml:space="preserve"> stock is obviously higher than 1, so our </w:t>
      </w:r>
      <w:proofErr w:type="spellStart"/>
      <w:r>
        <w:rPr>
          <w:b/>
        </w:rPr>
        <w:t>GameChangers</w:t>
      </w:r>
      <w:proofErr w:type="spellEnd"/>
      <w:r>
        <w:rPr>
          <w:b/>
        </w:rPr>
        <w:t xml:space="preserve"> are more volatile than the Nasdaq.;</w:t>
      </w:r>
    </w:p>
    <w:p w14:paraId="40C9A129" w14:textId="77777777" w:rsidR="00BE6986" w:rsidRDefault="0047414E">
      <w:pPr>
        <w:numPr>
          <w:ilvl w:val="0"/>
          <w:numId w:val="4"/>
        </w:numPr>
        <w:spacing w:before="120" w:line="273" w:lineRule="auto"/>
        <w:jc w:val="both"/>
        <w:rPr>
          <w:b/>
        </w:rPr>
      </w:pPr>
      <w:r>
        <w:rPr>
          <w:b/>
          <w:color w:val="222222"/>
          <w:highlight w:val="white"/>
        </w:rPr>
        <w:t>The daily QQQ-R</w:t>
      </w:r>
      <w:r>
        <w:rPr>
          <w:b/>
          <w:color w:val="222222"/>
          <w:highlight w:val="white"/>
          <w:vertAlign w:val="superscript"/>
        </w:rPr>
        <w:t>2</w:t>
      </w:r>
      <w:r>
        <w:rPr>
          <w:b/>
          <w:color w:val="222222"/>
          <w:highlight w:val="white"/>
        </w:rPr>
        <w:t xml:space="preserve"> is 0.78. Its value is high enough that the beta of the </w:t>
      </w:r>
      <w:proofErr w:type="spellStart"/>
      <w:r>
        <w:rPr>
          <w:b/>
          <w:color w:val="222222"/>
          <w:highlight w:val="white"/>
        </w:rPr>
        <w:t>EWGCh</w:t>
      </w:r>
      <w:proofErr w:type="spellEnd"/>
      <w:r>
        <w:rPr>
          <w:b/>
          <w:color w:val="222222"/>
          <w:highlight w:val="white"/>
        </w:rPr>
        <w:t xml:space="preserve"> can be reliable used. The calculated beta is useful.</w:t>
      </w:r>
    </w:p>
    <w:p w14:paraId="1238809B" w14:textId="77777777" w:rsidR="00BE6986" w:rsidRDefault="00BE6986">
      <w:pPr>
        <w:jc w:val="both"/>
      </w:pPr>
    </w:p>
    <w:p w14:paraId="1CAA8491" w14:textId="77777777" w:rsidR="00BE6986" w:rsidRDefault="0047414E">
      <w:pPr>
        <w:jc w:val="both"/>
      </w:pPr>
      <w:r>
        <w:t>In</w:t>
      </w:r>
      <w:r>
        <w:t xml:space="preserve"> our opinion, based on these figures, </w:t>
      </w:r>
      <w:r>
        <w:rPr>
          <w:b/>
        </w:rPr>
        <w:t xml:space="preserve">our </w:t>
      </w:r>
      <w:proofErr w:type="spellStart"/>
      <w:r>
        <w:rPr>
          <w:b/>
        </w:rPr>
        <w:t>GameChanger</w:t>
      </w:r>
      <w:proofErr w:type="spellEnd"/>
      <w:r>
        <w:rPr>
          <w:b/>
        </w:rPr>
        <w:t xml:space="preserve"> portfolio (actually </w:t>
      </w:r>
      <w:proofErr w:type="spellStart"/>
      <w:r>
        <w:rPr>
          <w:b/>
        </w:rPr>
        <w:t>EWGCh</w:t>
      </w:r>
      <w:proofErr w:type="spellEnd"/>
      <w:r>
        <w:rPr>
          <w:b/>
        </w:rPr>
        <w:t xml:space="preserve"> stock) correlates well with QQQ, thus - based on our above mentioned QQQ put option insurance study - it could be effectively hedged with QQQ put options with some beta coeffic</w:t>
      </w:r>
      <w:r>
        <w:rPr>
          <w:b/>
        </w:rPr>
        <w:t>ient</w:t>
      </w:r>
      <w:r>
        <w:t xml:space="preserve">. </w:t>
      </w:r>
    </w:p>
    <w:p w14:paraId="54AC6260" w14:textId="77777777" w:rsidR="00BE6986" w:rsidRDefault="00BE6986">
      <w:pPr>
        <w:jc w:val="both"/>
      </w:pPr>
    </w:p>
    <w:p w14:paraId="7446E373" w14:textId="77777777" w:rsidR="00BE6986" w:rsidRDefault="00BE6986">
      <w:pPr>
        <w:jc w:val="both"/>
      </w:pPr>
    </w:p>
    <w:p w14:paraId="5E90A62A" w14:textId="77777777" w:rsidR="00BE6986" w:rsidRDefault="0047414E">
      <w:pPr>
        <w:jc w:val="center"/>
      </w:pPr>
      <w:r>
        <w:rPr>
          <w:sz w:val="18"/>
          <w:szCs w:val="18"/>
        </w:rPr>
        <w:t xml:space="preserve">Table 2a: Statistical Indicators of Estimated Beta of </w:t>
      </w:r>
      <w:proofErr w:type="spellStart"/>
      <w:r>
        <w:rPr>
          <w:sz w:val="18"/>
          <w:szCs w:val="18"/>
        </w:rPr>
        <w:t>EWGCh</w:t>
      </w:r>
      <w:proofErr w:type="spellEnd"/>
      <w:r>
        <w:rPr>
          <w:sz w:val="18"/>
          <w:szCs w:val="18"/>
        </w:rPr>
        <w:t xml:space="preserve"> by Benchmark, Return Interval and Lookback Period - from 2004 to 2018</w:t>
      </w:r>
    </w:p>
    <w:p w14:paraId="6E438EF8" w14:textId="77777777" w:rsidR="00BE6986" w:rsidRDefault="0047414E">
      <w:pPr>
        <w:jc w:val="center"/>
      </w:pPr>
      <w:r>
        <w:rPr>
          <w:noProof/>
        </w:rPr>
        <w:drawing>
          <wp:inline distT="114300" distB="114300" distL="114300" distR="114300" wp14:anchorId="671B1944" wp14:editId="15A53F8A">
            <wp:extent cx="7048500" cy="2092688"/>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8"/>
                    <a:srcRect/>
                    <a:stretch>
                      <a:fillRect/>
                    </a:stretch>
                  </pic:blipFill>
                  <pic:spPr>
                    <a:xfrm>
                      <a:off x="0" y="0"/>
                      <a:ext cx="7048500" cy="2092688"/>
                    </a:xfrm>
                    <a:prstGeom prst="rect">
                      <a:avLst/>
                    </a:prstGeom>
                    <a:ln/>
                  </pic:spPr>
                </pic:pic>
              </a:graphicData>
            </a:graphic>
          </wp:inline>
        </w:drawing>
      </w:r>
    </w:p>
    <w:p w14:paraId="30D0A7A5" w14:textId="77777777" w:rsidR="00BE6986" w:rsidRDefault="0047414E">
      <w:pPr>
        <w:jc w:val="center"/>
        <w:rPr>
          <w:sz w:val="18"/>
          <w:szCs w:val="18"/>
        </w:rPr>
      </w:pPr>
      <w:r>
        <w:br w:type="page"/>
      </w:r>
    </w:p>
    <w:p w14:paraId="4FBC3FFB" w14:textId="77777777" w:rsidR="00BE6986" w:rsidRDefault="0047414E">
      <w:pPr>
        <w:jc w:val="center"/>
      </w:pPr>
      <w:r>
        <w:rPr>
          <w:sz w:val="18"/>
          <w:szCs w:val="18"/>
        </w:rPr>
        <w:lastRenderedPageBreak/>
        <w:t xml:space="preserve">Table 2b: Statistical Indicators of R-Squared of </w:t>
      </w:r>
      <w:proofErr w:type="spellStart"/>
      <w:r>
        <w:rPr>
          <w:sz w:val="18"/>
          <w:szCs w:val="18"/>
        </w:rPr>
        <w:t>EWGCh</w:t>
      </w:r>
      <w:proofErr w:type="spellEnd"/>
      <w:r>
        <w:rPr>
          <w:sz w:val="18"/>
          <w:szCs w:val="18"/>
        </w:rPr>
        <w:t xml:space="preserve"> by Benchmark, Return Interval and Lookback Period - from 2</w:t>
      </w:r>
      <w:r>
        <w:rPr>
          <w:sz w:val="18"/>
          <w:szCs w:val="18"/>
        </w:rPr>
        <w:t>004 to 2018</w:t>
      </w:r>
    </w:p>
    <w:p w14:paraId="03EF4E43" w14:textId="77777777" w:rsidR="00BE6986" w:rsidRDefault="0047414E">
      <w:pPr>
        <w:jc w:val="both"/>
      </w:pPr>
      <w:r>
        <w:rPr>
          <w:noProof/>
        </w:rPr>
        <w:drawing>
          <wp:inline distT="114300" distB="114300" distL="114300" distR="114300" wp14:anchorId="7F8351F1" wp14:editId="6BEB8F52">
            <wp:extent cx="7052400" cy="2120900"/>
            <wp:effectExtent l="0" t="0" r="0" b="0"/>
            <wp:docPr id="1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9"/>
                    <a:srcRect/>
                    <a:stretch>
                      <a:fillRect/>
                    </a:stretch>
                  </pic:blipFill>
                  <pic:spPr>
                    <a:xfrm>
                      <a:off x="0" y="0"/>
                      <a:ext cx="7052400" cy="2120900"/>
                    </a:xfrm>
                    <a:prstGeom prst="rect">
                      <a:avLst/>
                    </a:prstGeom>
                    <a:ln/>
                  </pic:spPr>
                </pic:pic>
              </a:graphicData>
            </a:graphic>
          </wp:inline>
        </w:drawing>
      </w:r>
    </w:p>
    <w:p w14:paraId="0E9A1E29" w14:textId="77777777" w:rsidR="00BE6986" w:rsidRDefault="0047414E">
      <w:pPr>
        <w:jc w:val="both"/>
      </w:pPr>
      <w:r>
        <w:t xml:space="preserve">Furthermore, neither the lookback period nor the return interval </w:t>
      </w:r>
      <w:proofErr w:type="gramStart"/>
      <w:r>
        <w:t>seem</w:t>
      </w:r>
      <w:proofErr w:type="gramEnd"/>
      <w:r>
        <w:t xml:space="preserve"> to be a significant factor in terms of beta - for now. If this were really the case, we could safely use any of the betas for the QQQ put option insurance strategy. Unfortunately, howeve</w:t>
      </w:r>
      <w:r>
        <w:t xml:space="preserve">r, the situation is not so simple. Chart 7a-b show the scatter plot of </w:t>
      </w:r>
      <w:r>
        <w:rPr>
          <w:b/>
        </w:rPr>
        <w:t xml:space="preserve">daily vs. monthly </w:t>
      </w:r>
      <w:proofErr w:type="spellStart"/>
      <w:r>
        <w:rPr>
          <w:b/>
        </w:rPr>
        <w:t>EWGCh</w:t>
      </w:r>
      <w:proofErr w:type="spellEnd"/>
      <w:r>
        <w:rPr>
          <w:b/>
        </w:rPr>
        <w:t xml:space="preserve"> betas in comparison to QQQ and SPY using </w:t>
      </w:r>
      <w:proofErr w:type="gramStart"/>
      <w:r>
        <w:rPr>
          <w:b/>
        </w:rPr>
        <w:t>1 year</w:t>
      </w:r>
      <w:proofErr w:type="gramEnd"/>
      <w:r>
        <w:rPr>
          <w:b/>
        </w:rPr>
        <w:t xml:space="preserve"> lookback period. </w:t>
      </w:r>
      <w:r>
        <w:rPr>
          <w:b/>
          <w:color w:val="222222"/>
          <w:highlight w:val="white"/>
        </w:rPr>
        <w:t>Surprisingly, it can be seen that the daily betas vs. the monthly betas: they are almost indepen</w:t>
      </w:r>
      <w:r>
        <w:rPr>
          <w:b/>
          <w:color w:val="222222"/>
          <w:highlight w:val="white"/>
        </w:rPr>
        <w:t>dent</w:t>
      </w:r>
      <w:r>
        <w:rPr>
          <w:b/>
        </w:rPr>
        <w:t xml:space="preserve"> (very low R</w:t>
      </w:r>
      <w:r>
        <w:rPr>
          <w:b/>
          <w:vertAlign w:val="superscript"/>
        </w:rPr>
        <w:t>2</w:t>
      </w:r>
      <w:r>
        <w:rPr>
          <w:b/>
        </w:rPr>
        <w:t xml:space="preserve">), thus they </w:t>
      </w:r>
      <w:proofErr w:type="spellStart"/>
      <w:r>
        <w:rPr>
          <w:b/>
        </w:rPr>
        <w:t>can not</w:t>
      </w:r>
      <w:proofErr w:type="spellEnd"/>
      <w:r>
        <w:rPr>
          <w:b/>
        </w:rPr>
        <w:t xml:space="preserve"> easily be substituted for each other</w:t>
      </w:r>
      <w:r>
        <w:t xml:space="preserve">. For instance, there are </w:t>
      </w:r>
      <w:r>
        <w:rPr>
          <w:b/>
        </w:rPr>
        <w:t>examples in Chart 7a</w:t>
      </w:r>
      <w:r>
        <w:t>, when the daily beta is 1.8, while the monthly beta is 0.8. Or the other extreme: the daily beta is 0.8, while the monthly beta is 1.6.</w:t>
      </w:r>
      <w:r>
        <w:t xml:space="preserve"> Monthly beta calculations can be affected much more by big outlier values. Imagine Netflix daily %change values. Furthermore, imagine that over a year, Netflix stock mostly moved with the QQQ, but on the earnings report day, it fell -50%, but price come b</w:t>
      </w:r>
      <w:r>
        <w:t>ack to 0% over the next month. If daily beta calculation is used, that outlier value is averaged with another 259 other trading day samples, so its effect will be smoothed. However, if monthly beta is calculated (over 1 year, using 12 samples) then two thi</w:t>
      </w:r>
      <w:r>
        <w:t>ngs can happen. Either that -50% daily drawdown is either totally skipped by those 12 monthly data samples (because price came back to breakeven later), or that -50% drawdown is in the 12 monthly samples. But in that case, that outlier is only averaged wit</w:t>
      </w:r>
      <w:r>
        <w:t>h another 11 other monthly samples, so its effect will be huge. It is easy to see why monthly beta calculation is so random and unreliable. And it is a major problem with regard to the QQQ put option insurance strategy, as it buys and holds the options for</w:t>
      </w:r>
      <w:r>
        <w:t xml:space="preserve"> a month. Because our investment horizon in this case is a month, we ought to use the monthly betas. But assuming that daily betas are more robust and reliable, as we see, monthly beta calculation gives quite random values. We have a choice here. We </w:t>
      </w:r>
      <w:r>
        <w:rPr>
          <w:rFonts w:ascii="Arial Unicode MS" w:eastAsia="Arial Unicode MS" w:hAnsi="Arial Unicode MS" w:cs="Arial Unicode MS"/>
          <w:b/>
        </w:rPr>
        <w:t>either</w:t>
      </w:r>
      <w:r>
        <w:rPr>
          <w:rFonts w:ascii="Arial Unicode MS" w:eastAsia="Arial Unicode MS" w:hAnsi="Arial Unicode MS" w:cs="Arial Unicode MS"/>
          <w:b/>
        </w:rPr>
        <w:t xml:space="preserve"> use the monthly betas (but it uses less data) or try to ‘monthly-</w:t>
      </w:r>
      <w:proofErr w:type="spellStart"/>
      <w:r>
        <w:rPr>
          <w:rFonts w:ascii="Arial Unicode MS" w:eastAsia="Arial Unicode MS" w:hAnsi="Arial Unicode MS" w:cs="Arial Unicode MS"/>
          <w:b/>
        </w:rPr>
        <w:t>izing</w:t>
      </w:r>
      <w:proofErr w:type="spellEnd"/>
      <w:r>
        <w:rPr>
          <w:rFonts w:ascii="Arial Unicode MS" w:eastAsia="Arial Unicode MS" w:hAnsi="Arial Unicode MS" w:cs="Arial Unicode MS"/>
          <w:b/>
        </w:rPr>
        <w:t>’ the daily betas (more data → more reliable) with a multiplicator</w:t>
      </w:r>
      <w:r>
        <w:t>.</w:t>
      </w:r>
    </w:p>
    <w:p w14:paraId="4983B8C0" w14:textId="77777777" w:rsidR="00BE6986" w:rsidRDefault="00BE6986">
      <w:pPr>
        <w:jc w:val="center"/>
        <w:rPr>
          <w:sz w:val="18"/>
          <w:szCs w:val="18"/>
        </w:rPr>
      </w:pPr>
    </w:p>
    <w:p w14:paraId="5D537DE2" w14:textId="77777777" w:rsidR="00BE6986" w:rsidRDefault="0047414E">
      <w:pPr>
        <w:jc w:val="center"/>
        <w:rPr>
          <w:sz w:val="18"/>
          <w:szCs w:val="18"/>
        </w:rPr>
      </w:pPr>
      <w:r>
        <w:br w:type="page"/>
      </w:r>
    </w:p>
    <w:p w14:paraId="671122A9" w14:textId="77777777" w:rsidR="00BE6986" w:rsidRDefault="0047414E">
      <w:pPr>
        <w:jc w:val="center"/>
      </w:pPr>
      <w:r>
        <w:rPr>
          <w:sz w:val="18"/>
          <w:szCs w:val="18"/>
        </w:rPr>
        <w:lastRenderedPageBreak/>
        <w:t xml:space="preserve">Chart 7a: Scatter Plot of </w:t>
      </w:r>
      <w:proofErr w:type="spellStart"/>
      <w:r>
        <w:rPr>
          <w:sz w:val="18"/>
          <w:szCs w:val="18"/>
        </w:rPr>
        <w:t>EWGCh</w:t>
      </w:r>
      <w:proofErr w:type="spellEnd"/>
      <w:r>
        <w:rPr>
          <w:sz w:val="18"/>
          <w:szCs w:val="18"/>
        </w:rPr>
        <w:t xml:space="preserve"> Betas in Comparison to QQQ - daily vs. monthly return interval</w:t>
      </w:r>
    </w:p>
    <w:p w14:paraId="176BAC40" w14:textId="77777777" w:rsidR="00BE6986" w:rsidRDefault="0047414E">
      <w:pPr>
        <w:jc w:val="both"/>
      </w:pPr>
      <w:r>
        <w:rPr>
          <w:noProof/>
        </w:rPr>
        <w:drawing>
          <wp:inline distT="114300" distB="114300" distL="114300" distR="114300" wp14:anchorId="46E637E5" wp14:editId="08FB36D1">
            <wp:extent cx="7052400" cy="3200400"/>
            <wp:effectExtent l="0" t="0" r="0" b="0"/>
            <wp:docPr id="56"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50"/>
                    <a:srcRect/>
                    <a:stretch>
                      <a:fillRect/>
                    </a:stretch>
                  </pic:blipFill>
                  <pic:spPr>
                    <a:xfrm>
                      <a:off x="0" y="0"/>
                      <a:ext cx="7052400" cy="3200400"/>
                    </a:xfrm>
                    <a:prstGeom prst="rect">
                      <a:avLst/>
                    </a:prstGeom>
                    <a:ln/>
                  </pic:spPr>
                </pic:pic>
              </a:graphicData>
            </a:graphic>
          </wp:inline>
        </w:drawing>
      </w:r>
    </w:p>
    <w:p w14:paraId="18BBDA96" w14:textId="77777777" w:rsidR="00BE6986" w:rsidRDefault="00BE6986">
      <w:pPr>
        <w:jc w:val="center"/>
        <w:rPr>
          <w:sz w:val="18"/>
          <w:szCs w:val="18"/>
        </w:rPr>
      </w:pPr>
    </w:p>
    <w:p w14:paraId="79BD5CF8" w14:textId="77777777" w:rsidR="00BE6986" w:rsidRDefault="0047414E">
      <w:pPr>
        <w:jc w:val="center"/>
      </w:pPr>
      <w:r>
        <w:rPr>
          <w:sz w:val="18"/>
          <w:szCs w:val="18"/>
        </w:rPr>
        <w:t>Chart 7b: Scatte</w:t>
      </w:r>
      <w:r>
        <w:rPr>
          <w:sz w:val="18"/>
          <w:szCs w:val="18"/>
        </w:rPr>
        <w:t xml:space="preserve">r Plot of </w:t>
      </w:r>
      <w:proofErr w:type="spellStart"/>
      <w:r>
        <w:rPr>
          <w:sz w:val="18"/>
          <w:szCs w:val="18"/>
        </w:rPr>
        <w:t>EWGCh</w:t>
      </w:r>
      <w:proofErr w:type="spellEnd"/>
      <w:r>
        <w:rPr>
          <w:sz w:val="18"/>
          <w:szCs w:val="18"/>
        </w:rPr>
        <w:t xml:space="preserve"> Betas in Comparison to SPY - daily vs. monthly return interval</w:t>
      </w:r>
    </w:p>
    <w:p w14:paraId="70A483F0" w14:textId="77777777" w:rsidR="00BE6986" w:rsidRDefault="0047414E">
      <w:pPr>
        <w:jc w:val="both"/>
      </w:pPr>
      <w:r>
        <w:rPr>
          <w:noProof/>
        </w:rPr>
        <w:drawing>
          <wp:inline distT="114300" distB="114300" distL="114300" distR="114300" wp14:anchorId="2872B59C" wp14:editId="53ADF8AA">
            <wp:extent cx="7052400" cy="3200400"/>
            <wp:effectExtent l="0" t="0" r="0" b="0"/>
            <wp:docPr id="48"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51"/>
                    <a:srcRect/>
                    <a:stretch>
                      <a:fillRect/>
                    </a:stretch>
                  </pic:blipFill>
                  <pic:spPr>
                    <a:xfrm>
                      <a:off x="0" y="0"/>
                      <a:ext cx="7052400" cy="3200400"/>
                    </a:xfrm>
                    <a:prstGeom prst="rect">
                      <a:avLst/>
                    </a:prstGeom>
                    <a:ln/>
                  </pic:spPr>
                </pic:pic>
              </a:graphicData>
            </a:graphic>
          </wp:inline>
        </w:drawing>
      </w:r>
    </w:p>
    <w:p w14:paraId="7266731D" w14:textId="77777777" w:rsidR="00BE6986" w:rsidRDefault="0047414E">
      <w:pPr>
        <w:jc w:val="both"/>
      </w:pPr>
      <w:r>
        <w:br w:type="page"/>
      </w:r>
    </w:p>
    <w:p w14:paraId="5F5B1326" w14:textId="77777777" w:rsidR="00BE6986" w:rsidRDefault="0047414E">
      <w:pPr>
        <w:jc w:val="both"/>
      </w:pPr>
      <w:r>
        <w:lastRenderedPageBreak/>
        <w:t xml:space="preserve">In the following, we will analyse the beta coefficient further with the help of a simple strategy - let us call it ‘Beta Tester strategy’. </w:t>
      </w:r>
    </w:p>
    <w:p w14:paraId="43FA7D22" w14:textId="77777777" w:rsidR="00BE6986" w:rsidRDefault="00BE6986">
      <w:pPr>
        <w:jc w:val="both"/>
      </w:pPr>
    </w:p>
    <w:p w14:paraId="7B9F6381" w14:textId="77777777" w:rsidR="00BE6986" w:rsidRDefault="0047414E">
      <w:pPr>
        <w:jc w:val="both"/>
      </w:pPr>
      <w:r>
        <w:rPr>
          <w:b/>
          <w:i/>
          <w:u w:val="single"/>
        </w:rPr>
        <w:t>Beta Tester strategy</w:t>
      </w:r>
      <w:r>
        <w:t>:</w:t>
      </w:r>
    </w:p>
    <w:p w14:paraId="2CB94A1E" w14:textId="77777777" w:rsidR="00BE6986" w:rsidRDefault="0047414E">
      <w:pPr>
        <w:numPr>
          <w:ilvl w:val="0"/>
          <w:numId w:val="2"/>
        </w:numPr>
        <w:spacing w:before="100" w:line="273" w:lineRule="auto"/>
        <w:jc w:val="both"/>
        <w:rPr>
          <w:b/>
        </w:rPr>
      </w:pPr>
      <w:r>
        <w:rPr>
          <w:b/>
        </w:rPr>
        <w:t>calculate daily, weekly or monthly betas with some lookback period in comparison to the QQQ o</w:t>
      </w:r>
      <w:r>
        <w:rPr>
          <w:b/>
        </w:rPr>
        <w:t>nce in a month (generally EOM);</w:t>
      </w:r>
    </w:p>
    <w:p w14:paraId="5B5D3D49" w14:textId="77777777" w:rsidR="00BE6986" w:rsidRDefault="0047414E">
      <w:pPr>
        <w:numPr>
          <w:ilvl w:val="0"/>
          <w:numId w:val="2"/>
        </w:numPr>
        <w:spacing w:before="100" w:line="273" w:lineRule="auto"/>
        <w:jc w:val="both"/>
        <w:rPr>
          <w:b/>
        </w:rPr>
      </w:pPr>
      <w:r>
        <w:rPr>
          <w:b/>
        </w:rPr>
        <w:t>use some multiplicator for betas to get the appropriate monthly leverage for QQQ;</w:t>
      </w:r>
    </w:p>
    <w:p w14:paraId="2304F1F0" w14:textId="77777777" w:rsidR="00BE6986" w:rsidRDefault="0047414E">
      <w:pPr>
        <w:numPr>
          <w:ilvl w:val="0"/>
          <w:numId w:val="2"/>
        </w:numPr>
        <w:spacing w:before="100" w:line="273" w:lineRule="auto"/>
        <w:jc w:val="both"/>
        <w:rPr>
          <w:b/>
        </w:rPr>
      </w:pPr>
      <w:proofErr w:type="spellStart"/>
      <w:r>
        <w:rPr>
          <w:b/>
        </w:rPr>
        <w:t>buy&amp;hold</w:t>
      </w:r>
      <w:proofErr w:type="spellEnd"/>
      <w:r>
        <w:rPr>
          <w:b/>
        </w:rPr>
        <w:t xml:space="preserve"> </w:t>
      </w:r>
      <w:proofErr w:type="spellStart"/>
      <w:r>
        <w:rPr>
          <w:b/>
        </w:rPr>
        <w:t>EWGCh</w:t>
      </w:r>
      <w:proofErr w:type="spellEnd"/>
      <w:r>
        <w:rPr>
          <w:b/>
        </w:rPr>
        <w:t xml:space="preserve"> stock with QQQ hedge: long </w:t>
      </w:r>
      <w:proofErr w:type="spellStart"/>
      <w:r>
        <w:rPr>
          <w:b/>
        </w:rPr>
        <w:t>EWGCh</w:t>
      </w:r>
      <w:proofErr w:type="spellEnd"/>
      <w:r>
        <w:rPr>
          <w:b/>
        </w:rPr>
        <w:t xml:space="preserve"> stock and short multiplicator*beta QQQ;</w:t>
      </w:r>
    </w:p>
    <w:p w14:paraId="0FC2448E" w14:textId="77777777" w:rsidR="00BE6986" w:rsidRDefault="0047414E">
      <w:pPr>
        <w:numPr>
          <w:ilvl w:val="0"/>
          <w:numId w:val="2"/>
        </w:numPr>
        <w:spacing w:before="100" w:line="273" w:lineRule="auto"/>
        <w:jc w:val="both"/>
        <w:rPr>
          <w:b/>
        </w:rPr>
      </w:pPr>
      <w:r>
        <w:rPr>
          <w:b/>
        </w:rPr>
        <w:t>rebalance it monthly (when the new beta is calculated)</w:t>
      </w:r>
      <w:r>
        <w:rPr>
          <w:b/>
        </w:rPr>
        <w:t>.</w:t>
      </w:r>
    </w:p>
    <w:p w14:paraId="2ACCB030" w14:textId="77777777" w:rsidR="00BE6986" w:rsidRDefault="00BE6986">
      <w:pPr>
        <w:jc w:val="both"/>
      </w:pPr>
    </w:p>
    <w:p w14:paraId="098FE88C" w14:textId="77777777" w:rsidR="00BE6986" w:rsidRDefault="0047414E">
      <w:pPr>
        <w:jc w:val="both"/>
      </w:pPr>
      <w:r>
        <w:t>This strategy is close to the strategy we would like playing in real life with QQQ put option instead of short QQQ stock.</w:t>
      </w:r>
    </w:p>
    <w:p w14:paraId="70D904CB" w14:textId="77777777" w:rsidR="00BE6986" w:rsidRDefault="00BE6986">
      <w:pPr>
        <w:jc w:val="both"/>
      </w:pPr>
    </w:p>
    <w:p w14:paraId="5099D9F4" w14:textId="77777777" w:rsidR="00BE6986" w:rsidRDefault="0047414E">
      <w:pPr>
        <w:jc w:val="both"/>
      </w:pPr>
      <w:r>
        <w:t>Our goal is twofold with this ‘Beta Tester strategy’:</w:t>
      </w:r>
      <w:r>
        <w:rPr>
          <w:b/>
        </w:rPr>
        <w:t xml:space="preserve"> finding the appropriate lookback period, return interval and multiplicator t</w:t>
      </w:r>
      <w:r>
        <w:rPr>
          <w:b/>
        </w:rPr>
        <w:t xml:space="preserve">o get the best performance (CAGR, Sharpe ratio, maximum drawdown), while the difference between the monthly return of the </w:t>
      </w:r>
      <w:proofErr w:type="spellStart"/>
      <w:r>
        <w:rPr>
          <w:b/>
        </w:rPr>
        <w:t>EWGCh</w:t>
      </w:r>
      <w:proofErr w:type="spellEnd"/>
      <w:r>
        <w:rPr>
          <w:b/>
        </w:rPr>
        <w:t xml:space="preserve"> and leveraged (multiplicator*beta) QQQ is the closest to zero (perfect hedge)</w:t>
      </w:r>
      <w:r>
        <w:t>. In case of the latter, the sum of absolute deviat</w:t>
      </w:r>
      <w:r>
        <w:t>ions and sum of squared deviations will help us. These indicators are almost equivalent to the standard deviation.</w:t>
      </w:r>
    </w:p>
    <w:p w14:paraId="394B495F" w14:textId="77777777" w:rsidR="00BE6986" w:rsidRDefault="00BE6986">
      <w:pPr>
        <w:jc w:val="both"/>
      </w:pPr>
    </w:p>
    <w:p w14:paraId="184A924A" w14:textId="77777777" w:rsidR="00BE6986" w:rsidRDefault="0047414E">
      <w:pPr>
        <w:jc w:val="both"/>
      </w:pPr>
      <w:r>
        <w:t xml:space="preserve">Based on our market experience, we </w:t>
      </w:r>
      <w:r>
        <w:rPr>
          <w:b/>
        </w:rPr>
        <w:t>would not think that data older than 3 years should be used if we think about monthly time frame (1-month</w:t>
      </w:r>
      <w:r>
        <w:rPr>
          <w:b/>
        </w:rPr>
        <w:t xml:space="preserve"> maturity put options with monthly rebalancing)</w:t>
      </w:r>
      <w:r>
        <w:t xml:space="preserve">. Because of this, Table 3 and Table 4 contain statistical indicators of </w:t>
      </w:r>
      <w:r>
        <w:rPr>
          <w:b/>
        </w:rPr>
        <w:t>estimated betas</w:t>
      </w:r>
      <w:r>
        <w:t xml:space="preserve"> and </w:t>
      </w:r>
      <w:r>
        <w:rPr>
          <w:b/>
        </w:rPr>
        <w:t>performance indicators</w:t>
      </w:r>
      <w:r>
        <w:t xml:space="preserve"> of the ‘Beta Tester strategy’ using </w:t>
      </w:r>
      <w:r>
        <w:rPr>
          <w:b/>
        </w:rPr>
        <w:t>daily-, weekly and monthly betas with 1-, 2- and 3-year l</w:t>
      </w:r>
      <w:r>
        <w:rPr>
          <w:b/>
        </w:rPr>
        <w:t>ookback period and with 100% multiplicator (no leverage)</w:t>
      </w:r>
      <w:r>
        <w:t xml:space="preserve">. Actually, </w:t>
      </w:r>
      <w:r>
        <w:rPr>
          <w:b/>
        </w:rPr>
        <w:t xml:space="preserve">really significant differences </w:t>
      </w:r>
      <w:proofErr w:type="spellStart"/>
      <w:r>
        <w:rPr>
          <w:b/>
        </w:rPr>
        <w:t>can not</w:t>
      </w:r>
      <w:proofErr w:type="spellEnd"/>
      <w:r>
        <w:rPr>
          <w:b/>
        </w:rPr>
        <w:t xml:space="preserve"> be found among the performance</w:t>
      </w:r>
      <w:r>
        <w:t xml:space="preserve"> of the strategies using these scenarios. </w:t>
      </w:r>
    </w:p>
    <w:p w14:paraId="7FDACD03" w14:textId="77777777" w:rsidR="00BE6986" w:rsidRDefault="00BE6986">
      <w:pPr>
        <w:jc w:val="both"/>
        <w:rPr>
          <w:b/>
        </w:rPr>
      </w:pPr>
    </w:p>
    <w:p w14:paraId="07F7EBC5" w14:textId="77777777" w:rsidR="00BE6986" w:rsidRDefault="0047414E">
      <w:pPr>
        <w:jc w:val="both"/>
        <w:rPr>
          <w:b/>
        </w:rPr>
      </w:pPr>
      <w:r>
        <w:rPr>
          <w:b/>
        </w:rPr>
        <w:t xml:space="preserve">We think (and it is recommended in </w:t>
      </w:r>
      <w:hyperlink r:id="rId52">
        <w:r>
          <w:rPr>
            <w:b/>
            <w:color w:val="1155CC"/>
            <w:u w:val="single"/>
          </w:rPr>
          <w:t xml:space="preserve">‘How to Estimate Beta’ - </w:t>
        </w:r>
        <w:proofErr w:type="spellStart"/>
        <w:r>
          <w:rPr>
            <w:b/>
            <w:color w:val="1155CC"/>
            <w:u w:val="single"/>
          </w:rPr>
          <w:t>Hollstein</w:t>
        </w:r>
        <w:proofErr w:type="spellEnd"/>
        <w:r>
          <w:rPr>
            <w:b/>
            <w:color w:val="1155CC"/>
            <w:u w:val="single"/>
          </w:rPr>
          <w:t xml:space="preserve"> et al.</w:t>
        </w:r>
      </w:hyperlink>
      <w:r>
        <w:rPr>
          <w:b/>
        </w:rPr>
        <w:t>) that daily beta using 1-year lookback period with some multiplicator would be the most appropriate choice for our real life QQQ put option insurance strate</w:t>
      </w:r>
      <w:r>
        <w:rPr>
          <w:b/>
        </w:rPr>
        <w:t>gy.</w:t>
      </w:r>
    </w:p>
    <w:p w14:paraId="4D1CABD3" w14:textId="77777777" w:rsidR="00BE6986" w:rsidRDefault="00BE6986">
      <w:pPr>
        <w:jc w:val="both"/>
        <w:rPr>
          <w:b/>
        </w:rPr>
      </w:pPr>
    </w:p>
    <w:p w14:paraId="5FF88D86" w14:textId="77777777" w:rsidR="00BE6986" w:rsidRDefault="0047414E">
      <w:pPr>
        <w:jc w:val="both"/>
      </w:pPr>
      <w:r>
        <w:t xml:space="preserve">Someone might think that </w:t>
      </w:r>
      <w:r>
        <w:rPr>
          <w:i/>
        </w:rPr>
        <w:t xml:space="preserve">‘All right, let us use daily beta with </w:t>
      </w:r>
      <w:proofErr w:type="gramStart"/>
      <w:r>
        <w:rPr>
          <w:i/>
        </w:rPr>
        <w:t>1 year</w:t>
      </w:r>
      <w:proofErr w:type="gramEnd"/>
      <w:r>
        <w:rPr>
          <w:i/>
        </w:rPr>
        <w:t xml:space="preserve"> lookback period. But </w:t>
      </w:r>
      <w:r>
        <w:rPr>
          <w:b/>
          <w:i/>
        </w:rPr>
        <w:t>do not we want to use an extra multiplier for bearish periods</w:t>
      </w:r>
      <w:r>
        <w:rPr>
          <w:i/>
        </w:rPr>
        <w:t>?’</w:t>
      </w:r>
      <w:r>
        <w:t xml:space="preserve"> </w:t>
      </w:r>
      <w:r>
        <w:rPr>
          <w:b/>
        </w:rPr>
        <w:t xml:space="preserve">Many traders may have the impression that these </w:t>
      </w:r>
      <w:proofErr w:type="spellStart"/>
      <w:r>
        <w:rPr>
          <w:b/>
        </w:rPr>
        <w:t>GameChanger</w:t>
      </w:r>
      <w:proofErr w:type="spellEnd"/>
      <w:r>
        <w:rPr>
          <w:b/>
        </w:rPr>
        <w:t xml:space="preserve"> stocks lose much more than QQQ on bearish days and win slightly more on bullish days, so different betas should be used in bearish and bullish days</w:t>
      </w:r>
      <w:r>
        <w:t>. But after taking a look at Chart 8a-c, it can b</w:t>
      </w:r>
      <w:r>
        <w:t xml:space="preserve">e seen that </w:t>
      </w:r>
      <w:r>
        <w:rPr>
          <w:b/>
        </w:rPr>
        <w:t>there is no reason to use different multipliers (betas) in bearish and bullish times</w:t>
      </w:r>
      <w:r>
        <w:t>. These linear regression charts show that there is</w:t>
      </w:r>
      <w:r>
        <w:rPr>
          <w:b/>
        </w:rPr>
        <w:t xml:space="preserve"> no significant difference in daily betas</w:t>
      </w:r>
      <w:r>
        <w:t xml:space="preserve"> (using data from 2004 to 2018) on extreme bullish (beta=1.135 and R</w:t>
      </w:r>
      <w:r>
        <w:rPr>
          <w:vertAlign w:val="superscript"/>
        </w:rPr>
        <w:t>2</w:t>
      </w:r>
      <w:r>
        <w:t>=0.6466 when daily %change of QQQ is more than 1%) and on extreme bearish (beta=1.1269 and R</w:t>
      </w:r>
      <w:r>
        <w:rPr>
          <w:vertAlign w:val="superscript"/>
        </w:rPr>
        <w:t>2</w:t>
      </w:r>
      <w:r>
        <w:t>=0.599 when daily %change of QQQ is less than -1%) days compared to all days (beta=1.1642 and R</w:t>
      </w:r>
      <w:r>
        <w:rPr>
          <w:vertAlign w:val="superscript"/>
        </w:rPr>
        <w:t>2</w:t>
      </w:r>
      <w:r>
        <w:t>=0.771).</w:t>
      </w:r>
    </w:p>
    <w:p w14:paraId="5D5A3FA5" w14:textId="77777777" w:rsidR="00BE6986" w:rsidRDefault="00BE6986">
      <w:pPr>
        <w:jc w:val="both"/>
      </w:pPr>
    </w:p>
    <w:p w14:paraId="6A488158" w14:textId="77777777" w:rsidR="00BE6986" w:rsidRDefault="0047414E">
      <w:pPr>
        <w:jc w:val="center"/>
        <w:rPr>
          <w:sz w:val="18"/>
          <w:szCs w:val="18"/>
        </w:rPr>
      </w:pPr>
      <w:r>
        <w:br w:type="page"/>
      </w:r>
    </w:p>
    <w:p w14:paraId="7A96F617" w14:textId="77777777" w:rsidR="00BE6986" w:rsidRDefault="0047414E">
      <w:pPr>
        <w:jc w:val="center"/>
      </w:pPr>
      <w:r>
        <w:rPr>
          <w:sz w:val="18"/>
          <w:szCs w:val="18"/>
        </w:rPr>
        <w:lastRenderedPageBreak/>
        <w:t xml:space="preserve">Table 3: Statistical Indicators of Estimated Beta of </w:t>
      </w:r>
      <w:proofErr w:type="spellStart"/>
      <w:r>
        <w:rPr>
          <w:sz w:val="18"/>
          <w:szCs w:val="18"/>
        </w:rPr>
        <w:t>E</w:t>
      </w:r>
      <w:r>
        <w:rPr>
          <w:sz w:val="18"/>
          <w:szCs w:val="18"/>
        </w:rPr>
        <w:t>WGCh</w:t>
      </w:r>
      <w:proofErr w:type="spellEnd"/>
      <w:r>
        <w:rPr>
          <w:sz w:val="18"/>
          <w:szCs w:val="18"/>
        </w:rPr>
        <w:t xml:space="preserve"> in Comparison to QQQ by Return Interval and Lookback Period - 2006-2018</w:t>
      </w:r>
    </w:p>
    <w:p w14:paraId="0C6BCA7E" w14:textId="77777777" w:rsidR="00BE6986" w:rsidRDefault="0047414E">
      <w:pPr>
        <w:jc w:val="center"/>
        <w:rPr>
          <w:sz w:val="18"/>
          <w:szCs w:val="18"/>
        </w:rPr>
      </w:pPr>
      <w:r>
        <w:rPr>
          <w:noProof/>
        </w:rPr>
        <w:drawing>
          <wp:inline distT="114300" distB="114300" distL="114300" distR="114300" wp14:anchorId="5429672D" wp14:editId="536805E2">
            <wp:extent cx="6962775" cy="2283188"/>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3"/>
                    <a:srcRect/>
                    <a:stretch>
                      <a:fillRect/>
                    </a:stretch>
                  </pic:blipFill>
                  <pic:spPr>
                    <a:xfrm>
                      <a:off x="0" y="0"/>
                      <a:ext cx="6962775" cy="2283188"/>
                    </a:xfrm>
                    <a:prstGeom prst="rect">
                      <a:avLst/>
                    </a:prstGeom>
                    <a:ln/>
                  </pic:spPr>
                </pic:pic>
              </a:graphicData>
            </a:graphic>
          </wp:inline>
        </w:drawing>
      </w:r>
    </w:p>
    <w:p w14:paraId="1E43FA40" w14:textId="77777777" w:rsidR="00BE6986" w:rsidRDefault="0047414E">
      <w:pPr>
        <w:jc w:val="center"/>
        <w:rPr>
          <w:sz w:val="18"/>
          <w:szCs w:val="18"/>
        </w:rPr>
      </w:pPr>
      <w:r>
        <w:rPr>
          <w:sz w:val="18"/>
          <w:szCs w:val="18"/>
        </w:rPr>
        <w:t>Table 4: Performance Indicators of PVs by Return Interval and Lookback Period - 2006-2018</w:t>
      </w:r>
    </w:p>
    <w:p w14:paraId="30E41EC0" w14:textId="77777777" w:rsidR="00BE6986" w:rsidRDefault="0047414E">
      <w:pPr>
        <w:jc w:val="both"/>
      </w:pPr>
      <w:r>
        <w:rPr>
          <w:noProof/>
        </w:rPr>
        <w:drawing>
          <wp:inline distT="114300" distB="114300" distL="114300" distR="114300" wp14:anchorId="58B69574" wp14:editId="6F90619F">
            <wp:extent cx="6829425" cy="2771775"/>
            <wp:effectExtent l="0" t="0" r="0" b="0"/>
            <wp:docPr id="2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4"/>
                    <a:srcRect/>
                    <a:stretch>
                      <a:fillRect/>
                    </a:stretch>
                  </pic:blipFill>
                  <pic:spPr>
                    <a:xfrm>
                      <a:off x="0" y="0"/>
                      <a:ext cx="6829425" cy="2771775"/>
                    </a:xfrm>
                    <a:prstGeom prst="rect">
                      <a:avLst/>
                    </a:prstGeom>
                    <a:ln/>
                  </pic:spPr>
                </pic:pic>
              </a:graphicData>
            </a:graphic>
          </wp:inline>
        </w:drawing>
      </w:r>
    </w:p>
    <w:p w14:paraId="3A7C79C0" w14:textId="77777777" w:rsidR="00BE6986" w:rsidRDefault="00BE6986">
      <w:pPr>
        <w:jc w:val="center"/>
        <w:rPr>
          <w:sz w:val="18"/>
          <w:szCs w:val="18"/>
        </w:rPr>
      </w:pPr>
    </w:p>
    <w:p w14:paraId="545797F6" w14:textId="77777777" w:rsidR="00BE6986" w:rsidRDefault="0047414E">
      <w:pPr>
        <w:pBdr>
          <w:top w:val="nil"/>
          <w:left w:val="nil"/>
          <w:bottom w:val="nil"/>
          <w:right w:val="nil"/>
          <w:between w:val="nil"/>
        </w:pBdr>
        <w:jc w:val="center"/>
      </w:pPr>
      <w:r>
        <w:rPr>
          <w:sz w:val="18"/>
          <w:szCs w:val="18"/>
        </w:rPr>
        <w:t xml:space="preserve">Chart 8a: Linear Regression Chart - </w:t>
      </w:r>
      <w:proofErr w:type="spellStart"/>
      <w:r>
        <w:rPr>
          <w:sz w:val="18"/>
          <w:szCs w:val="18"/>
        </w:rPr>
        <w:t>EWGCh</w:t>
      </w:r>
      <w:proofErr w:type="spellEnd"/>
      <w:r>
        <w:rPr>
          <w:sz w:val="18"/>
          <w:szCs w:val="18"/>
        </w:rPr>
        <w:t xml:space="preserve"> vs. QQQ using Daily Returns from 2004 to 2018 - All Days</w:t>
      </w:r>
    </w:p>
    <w:p w14:paraId="3F6D90B5" w14:textId="77777777" w:rsidR="00BE6986" w:rsidRDefault="0047414E">
      <w:pPr>
        <w:jc w:val="center"/>
      </w:pPr>
      <w:r>
        <w:rPr>
          <w:noProof/>
        </w:rPr>
        <w:drawing>
          <wp:inline distT="114300" distB="114300" distL="114300" distR="114300" wp14:anchorId="10FE12D7" wp14:editId="7E25822A">
            <wp:extent cx="6429363" cy="3349988"/>
            <wp:effectExtent l="0" t="0" r="0" b="0"/>
            <wp:docPr id="40"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55"/>
                    <a:srcRect/>
                    <a:stretch>
                      <a:fillRect/>
                    </a:stretch>
                  </pic:blipFill>
                  <pic:spPr>
                    <a:xfrm>
                      <a:off x="0" y="0"/>
                      <a:ext cx="6429363" cy="3349988"/>
                    </a:xfrm>
                    <a:prstGeom prst="rect">
                      <a:avLst/>
                    </a:prstGeom>
                    <a:ln/>
                  </pic:spPr>
                </pic:pic>
              </a:graphicData>
            </a:graphic>
          </wp:inline>
        </w:drawing>
      </w:r>
    </w:p>
    <w:p w14:paraId="69554F83" w14:textId="77777777" w:rsidR="00BE6986" w:rsidRDefault="0047414E">
      <w:pPr>
        <w:jc w:val="center"/>
      </w:pPr>
      <w:r>
        <w:rPr>
          <w:sz w:val="18"/>
          <w:szCs w:val="18"/>
        </w:rPr>
        <w:lastRenderedPageBreak/>
        <w:t xml:space="preserve">Chart 8b: Linear Regression Chart - </w:t>
      </w:r>
      <w:proofErr w:type="spellStart"/>
      <w:r>
        <w:rPr>
          <w:sz w:val="18"/>
          <w:szCs w:val="18"/>
        </w:rPr>
        <w:t>EWGCh</w:t>
      </w:r>
      <w:proofErr w:type="spellEnd"/>
      <w:r>
        <w:rPr>
          <w:sz w:val="18"/>
          <w:szCs w:val="18"/>
        </w:rPr>
        <w:t xml:space="preserve"> vs. QQQ using Daily Returns from 2004 to 2018 - When QQQ Daily % Change &gt;=1%</w:t>
      </w:r>
    </w:p>
    <w:p w14:paraId="08D833AD" w14:textId="77777777" w:rsidR="00BE6986" w:rsidRDefault="0047414E">
      <w:pPr>
        <w:jc w:val="both"/>
      </w:pPr>
      <w:r>
        <w:rPr>
          <w:noProof/>
        </w:rPr>
        <w:drawing>
          <wp:inline distT="114300" distB="114300" distL="114300" distR="114300" wp14:anchorId="7FFF9112" wp14:editId="0A6D5DA6">
            <wp:extent cx="6629400" cy="3590925"/>
            <wp:effectExtent l="0" t="0" r="0" b="0"/>
            <wp:docPr id="50"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56"/>
                    <a:srcRect/>
                    <a:stretch>
                      <a:fillRect/>
                    </a:stretch>
                  </pic:blipFill>
                  <pic:spPr>
                    <a:xfrm>
                      <a:off x="0" y="0"/>
                      <a:ext cx="6629400" cy="3590925"/>
                    </a:xfrm>
                    <a:prstGeom prst="rect">
                      <a:avLst/>
                    </a:prstGeom>
                    <a:ln/>
                  </pic:spPr>
                </pic:pic>
              </a:graphicData>
            </a:graphic>
          </wp:inline>
        </w:drawing>
      </w:r>
    </w:p>
    <w:p w14:paraId="69433A94" w14:textId="77777777" w:rsidR="00BE6986" w:rsidRDefault="0047414E">
      <w:pPr>
        <w:jc w:val="center"/>
      </w:pPr>
      <w:r>
        <w:rPr>
          <w:sz w:val="18"/>
          <w:szCs w:val="18"/>
        </w:rPr>
        <w:t xml:space="preserve">Chart 8c: Linear Regression Chart </w:t>
      </w:r>
      <w:r>
        <w:rPr>
          <w:sz w:val="18"/>
          <w:szCs w:val="18"/>
        </w:rPr>
        <w:t xml:space="preserve">- </w:t>
      </w:r>
      <w:proofErr w:type="spellStart"/>
      <w:r>
        <w:rPr>
          <w:sz w:val="18"/>
          <w:szCs w:val="18"/>
        </w:rPr>
        <w:t>EWGCh</w:t>
      </w:r>
      <w:proofErr w:type="spellEnd"/>
      <w:r>
        <w:rPr>
          <w:sz w:val="18"/>
          <w:szCs w:val="18"/>
        </w:rPr>
        <w:t xml:space="preserve"> vs. QQQ using Daily Returns from 2004 to 2018 - When QQQ Daily % Change &lt;-1%</w:t>
      </w:r>
    </w:p>
    <w:p w14:paraId="532B2B96" w14:textId="77777777" w:rsidR="00BE6986" w:rsidRDefault="0047414E">
      <w:pPr>
        <w:jc w:val="center"/>
      </w:pPr>
      <w:r>
        <w:rPr>
          <w:noProof/>
        </w:rPr>
        <w:drawing>
          <wp:inline distT="114300" distB="114300" distL="114300" distR="114300" wp14:anchorId="20AE5165" wp14:editId="5A7549FC">
            <wp:extent cx="6362700" cy="3857625"/>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7"/>
                    <a:srcRect/>
                    <a:stretch>
                      <a:fillRect/>
                    </a:stretch>
                  </pic:blipFill>
                  <pic:spPr>
                    <a:xfrm>
                      <a:off x="0" y="0"/>
                      <a:ext cx="6362700" cy="3857625"/>
                    </a:xfrm>
                    <a:prstGeom prst="rect">
                      <a:avLst/>
                    </a:prstGeom>
                    <a:ln/>
                  </pic:spPr>
                </pic:pic>
              </a:graphicData>
            </a:graphic>
          </wp:inline>
        </w:drawing>
      </w:r>
    </w:p>
    <w:p w14:paraId="3A3401F1" w14:textId="77777777" w:rsidR="00BE6986" w:rsidRDefault="00BE6986">
      <w:pPr>
        <w:jc w:val="both"/>
      </w:pPr>
    </w:p>
    <w:p w14:paraId="783B5C54" w14:textId="77777777" w:rsidR="00BE6986" w:rsidRDefault="0047414E">
      <w:pPr>
        <w:pStyle w:val="Heading2"/>
        <w:rPr>
          <w:color w:val="4A86E8"/>
          <w:sz w:val="28"/>
          <w:szCs w:val="28"/>
        </w:rPr>
      </w:pPr>
      <w:bookmarkStart w:id="11" w:name="_5qd92drbaggx" w:colFirst="0" w:colLast="0"/>
      <w:bookmarkEnd w:id="11"/>
      <w:r>
        <w:br w:type="page"/>
      </w:r>
    </w:p>
    <w:p w14:paraId="1852044B" w14:textId="77777777" w:rsidR="00BE6986" w:rsidRDefault="0047414E">
      <w:pPr>
        <w:pStyle w:val="Heading2"/>
        <w:rPr>
          <w:color w:val="4A86E8"/>
          <w:sz w:val="28"/>
          <w:szCs w:val="28"/>
        </w:rPr>
      </w:pPr>
      <w:bookmarkStart w:id="12" w:name="_kv7ihzf58nm1" w:colFirst="0" w:colLast="0"/>
      <w:bookmarkEnd w:id="12"/>
      <w:r>
        <w:rPr>
          <w:color w:val="4A86E8"/>
          <w:sz w:val="28"/>
          <w:szCs w:val="28"/>
        </w:rPr>
        <w:lastRenderedPageBreak/>
        <w:t>Monte-Carlo Analysis to Select the Optimal Daily Beta ‘Monthly-</w:t>
      </w:r>
      <w:proofErr w:type="spellStart"/>
      <w:r>
        <w:rPr>
          <w:color w:val="4A86E8"/>
          <w:sz w:val="28"/>
          <w:szCs w:val="28"/>
        </w:rPr>
        <w:t>izing</w:t>
      </w:r>
      <w:proofErr w:type="spellEnd"/>
      <w:r>
        <w:rPr>
          <w:color w:val="4A86E8"/>
          <w:sz w:val="28"/>
          <w:szCs w:val="28"/>
        </w:rPr>
        <w:t>’ Multiplicator</w:t>
      </w:r>
    </w:p>
    <w:p w14:paraId="1D7B7BCD" w14:textId="77777777" w:rsidR="00BE6986" w:rsidRDefault="00BE6986"/>
    <w:p w14:paraId="2549370C" w14:textId="77777777" w:rsidR="00BE6986" w:rsidRDefault="0047414E">
      <w:pPr>
        <w:jc w:val="both"/>
      </w:pPr>
      <w:r>
        <w:t>In the previous section we concluded that daily beta using 1-year lookback period</w:t>
      </w:r>
      <w:r>
        <w:t xml:space="preserve"> with some multiplicator would be the most appropriate choice us. We essentially estimate the monthly beta from the daily beta with this multiplier. In this section, we try to determine its </w:t>
      </w:r>
      <w:r>
        <w:rPr>
          <w:b/>
        </w:rPr>
        <w:t>optimal value</w:t>
      </w:r>
      <w:r>
        <w:t xml:space="preserve">. </w:t>
      </w:r>
    </w:p>
    <w:p w14:paraId="04D19D75" w14:textId="77777777" w:rsidR="00BE6986" w:rsidRDefault="00BE6986">
      <w:pPr>
        <w:jc w:val="both"/>
      </w:pPr>
    </w:p>
    <w:p w14:paraId="789239AA" w14:textId="77777777" w:rsidR="00BE6986" w:rsidRDefault="0047414E">
      <w:pPr>
        <w:jc w:val="both"/>
        <w:rPr>
          <w:b/>
        </w:rPr>
      </w:pPr>
      <w:r>
        <w:t xml:space="preserve">Table 5a contains performance indicators of the </w:t>
      </w:r>
      <w:r>
        <w:rPr>
          <w:b/>
        </w:rPr>
        <w:t>‘</w:t>
      </w:r>
      <w:r>
        <w:rPr>
          <w:b/>
        </w:rPr>
        <w:t>Beta Tester strategy’ using daily betas, while the same can be found in Table 5b but using monthly betas</w:t>
      </w:r>
      <w:r>
        <w:t xml:space="preserve">. The </w:t>
      </w:r>
      <w:r>
        <w:rPr>
          <w:b/>
        </w:rPr>
        <w:t>lookback period is 1-year</w:t>
      </w:r>
      <w:r>
        <w:t xml:space="preserve"> in both cases for the sake of comparability. </w:t>
      </w:r>
      <w:r>
        <w:rPr>
          <w:b/>
        </w:rPr>
        <w:t xml:space="preserve">0% multiplicator means the pure </w:t>
      </w:r>
      <w:proofErr w:type="spellStart"/>
      <w:r>
        <w:rPr>
          <w:b/>
        </w:rPr>
        <w:t>buy&amp;hold</w:t>
      </w:r>
      <w:proofErr w:type="spellEnd"/>
      <w:r>
        <w:rPr>
          <w:b/>
        </w:rPr>
        <w:t xml:space="preserve"> </w:t>
      </w:r>
      <w:proofErr w:type="spellStart"/>
      <w:r>
        <w:rPr>
          <w:b/>
        </w:rPr>
        <w:t>EWGCh</w:t>
      </w:r>
      <w:proofErr w:type="spellEnd"/>
      <w:r>
        <w:rPr>
          <w:b/>
        </w:rPr>
        <w:t xml:space="preserve"> stock without QQQ hedge</w:t>
      </w:r>
      <w:r>
        <w:t xml:space="preserve">. </w:t>
      </w:r>
      <w:r>
        <w:rPr>
          <w:b/>
        </w:rPr>
        <w:t>Sur</w:t>
      </w:r>
      <w:r>
        <w:rPr>
          <w:b/>
        </w:rPr>
        <w:t>prisingly, in case of daily betas, we get the best performance (highest Sharpe ratio and lowest maximum drawdown) with 80-85% multiplicators, while the lowest deviation belongs to the 115-125% multiplicators</w:t>
      </w:r>
      <w:r>
        <w:t xml:space="preserve">. It means, that </w:t>
      </w:r>
      <w:r>
        <w:rPr>
          <w:b/>
        </w:rPr>
        <w:t>we are the closest to perfect he</w:t>
      </w:r>
      <w:r>
        <w:rPr>
          <w:b/>
        </w:rPr>
        <w:t>dge when daily beta was increased by 15-25%</w:t>
      </w:r>
      <w:r>
        <w:t xml:space="preserve">, but we get the </w:t>
      </w:r>
      <w:r>
        <w:rPr>
          <w:b/>
        </w:rPr>
        <w:t xml:space="preserve">best Sharpe, </w:t>
      </w:r>
      <w:proofErr w:type="spellStart"/>
      <w:r>
        <w:rPr>
          <w:b/>
        </w:rPr>
        <w:t>maxDD</w:t>
      </w:r>
      <w:proofErr w:type="spellEnd"/>
      <w:r>
        <w:rPr>
          <w:b/>
        </w:rPr>
        <w:t xml:space="preserve"> results when beta is decreased by 15-20%</w:t>
      </w:r>
      <w:r>
        <w:t xml:space="preserve">. This difference can largely be attributed to the fact that the </w:t>
      </w:r>
      <w:r>
        <w:rPr>
          <w:b/>
        </w:rPr>
        <w:t xml:space="preserve">virtual </w:t>
      </w:r>
      <w:proofErr w:type="spellStart"/>
      <w:r>
        <w:rPr>
          <w:b/>
        </w:rPr>
        <w:t>EWGCh</w:t>
      </w:r>
      <w:proofErr w:type="spellEnd"/>
      <w:r>
        <w:rPr>
          <w:b/>
        </w:rPr>
        <w:t xml:space="preserve"> stock itself has performed well in the past</w:t>
      </w:r>
      <w:r>
        <w:t xml:space="preserve">. If it was </w:t>
      </w:r>
      <w:r>
        <w:rPr>
          <w:b/>
        </w:rPr>
        <w:t>los</w:t>
      </w:r>
      <w:r>
        <w:rPr>
          <w:b/>
        </w:rPr>
        <w:t>s-making or neutral, it would have achieved the best result with a larger multiplier</w:t>
      </w:r>
      <w:r>
        <w:t xml:space="preserve">. The same can be concluded based on Table 5b: </w:t>
      </w:r>
      <w:r>
        <w:rPr>
          <w:b/>
        </w:rPr>
        <w:t>the lower leverage (lower multiplier) for the QQQ hedge is used, the better performance we get - thanks to the well performed</w:t>
      </w:r>
      <w:r>
        <w:rPr>
          <w:b/>
        </w:rPr>
        <w:t xml:space="preserve"> virtual </w:t>
      </w:r>
      <w:proofErr w:type="spellStart"/>
      <w:r>
        <w:rPr>
          <w:b/>
        </w:rPr>
        <w:t>EWGCh</w:t>
      </w:r>
      <w:proofErr w:type="spellEnd"/>
      <w:r>
        <w:rPr>
          <w:b/>
        </w:rPr>
        <w:t xml:space="preserve"> stock. A remarkable achievement that the </w:t>
      </w:r>
      <w:proofErr w:type="spellStart"/>
      <w:r>
        <w:rPr>
          <w:b/>
        </w:rPr>
        <w:t>maxDD</w:t>
      </w:r>
      <w:proofErr w:type="spellEnd"/>
      <w:r>
        <w:rPr>
          <w:b/>
        </w:rPr>
        <w:t xml:space="preserve">, which is -50% without hedging could have been brought down to -23% with the 70-75% multiplier. It is far from the 0% </w:t>
      </w:r>
      <w:proofErr w:type="spellStart"/>
      <w:r>
        <w:rPr>
          <w:b/>
        </w:rPr>
        <w:t>maxDD</w:t>
      </w:r>
      <w:proofErr w:type="spellEnd"/>
      <w:r>
        <w:rPr>
          <w:b/>
        </w:rPr>
        <w:t xml:space="preserve"> of a perfect hedge, but it is a big advantage.</w:t>
      </w:r>
    </w:p>
    <w:p w14:paraId="1CBB1663" w14:textId="77777777" w:rsidR="00BE6986" w:rsidRDefault="00BE6986">
      <w:pPr>
        <w:jc w:val="both"/>
        <w:rPr>
          <w:b/>
        </w:rPr>
      </w:pPr>
    </w:p>
    <w:p w14:paraId="50568F88" w14:textId="77777777" w:rsidR="00BE6986" w:rsidRDefault="0047414E">
      <w:pPr>
        <w:jc w:val="center"/>
      </w:pPr>
      <w:r>
        <w:rPr>
          <w:sz w:val="18"/>
          <w:szCs w:val="18"/>
        </w:rPr>
        <w:t>Table 5</w:t>
      </w:r>
      <w:proofErr w:type="gramStart"/>
      <w:r>
        <w:rPr>
          <w:sz w:val="18"/>
          <w:szCs w:val="18"/>
        </w:rPr>
        <w:t>a:Performance</w:t>
      </w:r>
      <w:proofErr w:type="gramEnd"/>
      <w:r>
        <w:rPr>
          <w:sz w:val="18"/>
          <w:szCs w:val="18"/>
        </w:rPr>
        <w:t xml:space="preserve"> Indicators of PVs by Multiplicators from 2004 to 2018 - Using Daily Beta</w:t>
      </w:r>
    </w:p>
    <w:p w14:paraId="23CD3DC2" w14:textId="77777777" w:rsidR="00BE6986" w:rsidRDefault="0047414E">
      <w:pPr>
        <w:jc w:val="center"/>
      </w:pPr>
      <w:r>
        <w:rPr>
          <w:noProof/>
        </w:rPr>
        <w:drawing>
          <wp:inline distT="114300" distB="114300" distL="114300" distR="114300" wp14:anchorId="60A42E86" wp14:editId="1599ACB0">
            <wp:extent cx="7048500" cy="5098687"/>
            <wp:effectExtent l="0" t="0" r="0" b="0"/>
            <wp:docPr id="52"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58"/>
                    <a:srcRect/>
                    <a:stretch>
                      <a:fillRect/>
                    </a:stretch>
                  </pic:blipFill>
                  <pic:spPr>
                    <a:xfrm>
                      <a:off x="0" y="0"/>
                      <a:ext cx="7048500" cy="5098687"/>
                    </a:xfrm>
                    <a:prstGeom prst="rect">
                      <a:avLst/>
                    </a:prstGeom>
                    <a:ln/>
                  </pic:spPr>
                </pic:pic>
              </a:graphicData>
            </a:graphic>
          </wp:inline>
        </w:drawing>
      </w:r>
    </w:p>
    <w:p w14:paraId="13C6FDCB" w14:textId="77777777" w:rsidR="00BE6986" w:rsidRDefault="0047414E">
      <w:pPr>
        <w:jc w:val="center"/>
      </w:pPr>
      <w:r>
        <w:rPr>
          <w:sz w:val="18"/>
          <w:szCs w:val="18"/>
        </w:rPr>
        <w:lastRenderedPageBreak/>
        <w:t>Table 5b: Performance Indicators of PVs by Multiplicators from 2004 to 2018 - Using Monthly Beta</w:t>
      </w:r>
    </w:p>
    <w:p w14:paraId="5402FEB4" w14:textId="77777777" w:rsidR="00BE6986" w:rsidRDefault="0047414E">
      <w:pPr>
        <w:jc w:val="center"/>
      </w:pPr>
      <w:r>
        <w:rPr>
          <w:noProof/>
        </w:rPr>
        <w:drawing>
          <wp:inline distT="114300" distB="114300" distL="114300" distR="114300" wp14:anchorId="4382A5E4" wp14:editId="06230063">
            <wp:extent cx="7052400" cy="5791200"/>
            <wp:effectExtent l="0" t="0" r="0" b="0"/>
            <wp:docPr id="49"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59"/>
                    <a:srcRect/>
                    <a:stretch>
                      <a:fillRect/>
                    </a:stretch>
                  </pic:blipFill>
                  <pic:spPr>
                    <a:xfrm>
                      <a:off x="0" y="0"/>
                      <a:ext cx="7052400" cy="5791200"/>
                    </a:xfrm>
                    <a:prstGeom prst="rect">
                      <a:avLst/>
                    </a:prstGeom>
                    <a:ln/>
                  </pic:spPr>
                </pic:pic>
              </a:graphicData>
            </a:graphic>
          </wp:inline>
        </w:drawing>
      </w:r>
    </w:p>
    <w:p w14:paraId="11F234CE" w14:textId="77777777" w:rsidR="00BE6986" w:rsidRDefault="0047414E">
      <w:pPr>
        <w:jc w:val="both"/>
      </w:pPr>
      <w:r>
        <w:t xml:space="preserve">But how would the strategy perform if the </w:t>
      </w:r>
      <w:proofErr w:type="spellStart"/>
      <w:r>
        <w:rPr>
          <w:b/>
        </w:rPr>
        <w:t>GameChanger</w:t>
      </w:r>
      <w:proofErr w:type="spellEnd"/>
      <w:r>
        <w:rPr>
          <w:b/>
        </w:rPr>
        <w:t xml:space="preserve"> stocks </w:t>
      </w:r>
      <w:r>
        <w:rPr>
          <w:b/>
        </w:rPr>
        <w:t>did not perform so well</w:t>
      </w:r>
      <w:r>
        <w:t xml:space="preserve"> (e.g. in a bear market)? In the following, we are analysing </w:t>
      </w:r>
      <w:r>
        <w:rPr>
          <w:b/>
        </w:rPr>
        <w:t xml:space="preserve">three scenarios with Monte Carlo simulations using 100,000-100,000 simulated return path for QQQ and </w:t>
      </w:r>
      <w:proofErr w:type="spellStart"/>
      <w:r>
        <w:rPr>
          <w:b/>
        </w:rPr>
        <w:t>EWGCh</w:t>
      </w:r>
      <w:proofErr w:type="spellEnd"/>
      <w:r>
        <w:rPr>
          <w:b/>
        </w:rPr>
        <w:t xml:space="preserve"> to analyse the performance of the</w:t>
      </w:r>
      <w:r>
        <w:t xml:space="preserve"> </w:t>
      </w:r>
      <w:r>
        <w:rPr>
          <w:b/>
        </w:rPr>
        <w:t>‘Beta Tester strategy’</w:t>
      </w:r>
      <w:r>
        <w:t>:</w:t>
      </w:r>
    </w:p>
    <w:p w14:paraId="13E08E84" w14:textId="77777777" w:rsidR="00BE6986" w:rsidRDefault="0047414E">
      <w:pPr>
        <w:numPr>
          <w:ilvl w:val="0"/>
          <w:numId w:val="1"/>
        </w:numPr>
        <w:spacing w:before="80" w:line="273" w:lineRule="auto"/>
        <w:jc w:val="both"/>
      </w:pPr>
      <w:r>
        <w:rPr>
          <w:b/>
          <w:u w:val="single"/>
        </w:rPr>
        <w:t>Realist</w:t>
      </w:r>
      <w:r>
        <w:rPr>
          <w:b/>
          <w:u w:val="single"/>
        </w:rPr>
        <w:t>ic:</w:t>
      </w:r>
      <w:r>
        <w:t xml:space="preserve"> using real average daily returns, standard deviations and correlation </w:t>
      </w:r>
      <w:proofErr w:type="gramStart"/>
      <w:r>
        <w:t>coefficient  -</w:t>
      </w:r>
      <w:proofErr w:type="gramEnd"/>
      <w:r>
        <w:t xml:space="preserve"> </w:t>
      </w:r>
      <w:r>
        <w:rPr>
          <w:b/>
        </w:rPr>
        <w:t>all day</w:t>
      </w:r>
      <w:r>
        <w:t xml:space="preserve"> from 2004 to 2018;</w:t>
      </w:r>
    </w:p>
    <w:p w14:paraId="28C822F7" w14:textId="77777777" w:rsidR="00BE6986" w:rsidRDefault="0047414E">
      <w:pPr>
        <w:numPr>
          <w:ilvl w:val="0"/>
          <w:numId w:val="1"/>
        </w:numPr>
        <w:spacing w:before="80" w:line="273" w:lineRule="auto"/>
        <w:jc w:val="both"/>
      </w:pPr>
      <w:r>
        <w:rPr>
          <w:b/>
          <w:u w:val="single"/>
        </w:rPr>
        <w:t>Bearish:</w:t>
      </w:r>
      <w:r>
        <w:t xml:space="preserve"> using real average daily returns, standard deviations and correlation </w:t>
      </w:r>
      <w:proofErr w:type="gramStart"/>
      <w:r>
        <w:t>coefficient  -</w:t>
      </w:r>
      <w:proofErr w:type="gramEnd"/>
      <w:r>
        <w:rPr>
          <w:b/>
        </w:rPr>
        <w:t xml:space="preserve"> bearish periods</w:t>
      </w:r>
      <w:r>
        <w:t xml:space="preserve"> (QQQ decreased more than -15% </w:t>
      </w:r>
      <w:r>
        <w:t>within months) from 2004 to 2018;</w:t>
      </w:r>
    </w:p>
    <w:p w14:paraId="20F21C5F" w14:textId="77777777" w:rsidR="00BE6986" w:rsidRDefault="0047414E">
      <w:pPr>
        <w:numPr>
          <w:ilvl w:val="0"/>
          <w:numId w:val="1"/>
        </w:numPr>
        <w:spacing w:before="80" w:line="273" w:lineRule="auto"/>
        <w:jc w:val="both"/>
      </w:pPr>
      <w:r>
        <w:rPr>
          <w:b/>
          <w:u w:val="single"/>
        </w:rPr>
        <w:t>Bullish:</w:t>
      </w:r>
      <w:r>
        <w:t xml:space="preserve"> using real average daily returns, standard deviations and correlation </w:t>
      </w:r>
      <w:proofErr w:type="gramStart"/>
      <w:r>
        <w:t>coefficient  -</w:t>
      </w:r>
      <w:proofErr w:type="gramEnd"/>
      <w:r>
        <w:rPr>
          <w:b/>
        </w:rPr>
        <w:t xml:space="preserve"> bullish periods </w:t>
      </w:r>
      <w:r>
        <w:t>(QQQ increased more than 15% within months) from 2004 to 2018.</w:t>
      </w:r>
    </w:p>
    <w:p w14:paraId="03373CA9" w14:textId="77777777" w:rsidR="00BE6986" w:rsidRDefault="00BE6986">
      <w:pPr>
        <w:spacing w:before="80" w:line="273" w:lineRule="auto"/>
        <w:jc w:val="both"/>
      </w:pPr>
    </w:p>
    <w:p w14:paraId="791ED231" w14:textId="77777777" w:rsidR="00BE6986" w:rsidRDefault="0047414E">
      <w:pPr>
        <w:spacing w:before="80" w:line="273" w:lineRule="auto"/>
        <w:jc w:val="both"/>
      </w:pPr>
      <w:r>
        <w:t>The exact parameters of these scenarios can be seen in Table 6.</w:t>
      </w:r>
    </w:p>
    <w:p w14:paraId="2E72A7DA" w14:textId="77777777" w:rsidR="00BE6986" w:rsidRDefault="0047414E">
      <w:pPr>
        <w:jc w:val="center"/>
        <w:rPr>
          <w:sz w:val="18"/>
          <w:szCs w:val="18"/>
        </w:rPr>
      </w:pPr>
      <w:r>
        <w:br w:type="page"/>
      </w:r>
    </w:p>
    <w:p w14:paraId="7F9E1EF2" w14:textId="77777777" w:rsidR="00BE6986" w:rsidRDefault="0047414E">
      <w:pPr>
        <w:jc w:val="center"/>
      </w:pPr>
      <w:r>
        <w:rPr>
          <w:sz w:val="18"/>
          <w:szCs w:val="18"/>
        </w:rPr>
        <w:lastRenderedPageBreak/>
        <w:t>Table 6: Parameters of Simulated Daily Returns</w:t>
      </w:r>
    </w:p>
    <w:p w14:paraId="7016386D" w14:textId="77777777" w:rsidR="00BE6986" w:rsidRDefault="0047414E">
      <w:pPr>
        <w:jc w:val="center"/>
      </w:pPr>
      <w:r>
        <w:rPr>
          <w:noProof/>
        </w:rPr>
        <w:drawing>
          <wp:inline distT="114300" distB="114300" distL="114300" distR="114300" wp14:anchorId="07D2804E" wp14:editId="3190D580">
            <wp:extent cx="5514975" cy="1562100"/>
            <wp:effectExtent l="0" t="0" r="0" b="0"/>
            <wp:docPr id="3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60"/>
                    <a:srcRect/>
                    <a:stretch>
                      <a:fillRect/>
                    </a:stretch>
                  </pic:blipFill>
                  <pic:spPr>
                    <a:xfrm>
                      <a:off x="0" y="0"/>
                      <a:ext cx="5514975" cy="1562100"/>
                    </a:xfrm>
                    <a:prstGeom prst="rect">
                      <a:avLst/>
                    </a:prstGeom>
                    <a:ln/>
                  </pic:spPr>
                </pic:pic>
              </a:graphicData>
            </a:graphic>
          </wp:inline>
        </w:drawing>
      </w:r>
    </w:p>
    <w:p w14:paraId="1F7F9A05" w14:textId="77777777" w:rsidR="00BE6986" w:rsidRDefault="0047414E">
      <w:pPr>
        <w:jc w:val="both"/>
      </w:pPr>
      <w:r>
        <w:t xml:space="preserve">For all three scenarios, we show the density of </w:t>
      </w:r>
      <w:r>
        <w:rPr>
          <w:b/>
        </w:rPr>
        <w:t>CAGRs, Sharpe ratios and maxi</w:t>
      </w:r>
      <w:r>
        <w:rPr>
          <w:b/>
        </w:rPr>
        <w:t>mum drawdowns</w:t>
      </w:r>
      <w:r>
        <w:t xml:space="preserve"> of the </w:t>
      </w:r>
      <w:r>
        <w:rPr>
          <w:b/>
        </w:rPr>
        <w:t xml:space="preserve">‘Beta Tester strategy’ using daily betas with the following multipliers: 0% (without hedge), 85%, 100% (pure beta), 125% and 150%. </w:t>
      </w:r>
      <w:r>
        <w:t>These density functions can be seen in Chart 9a-c - Chart 11a-c. The averages of these performance indic</w:t>
      </w:r>
      <w:r>
        <w:t>ators can be found in Table 7.</w:t>
      </w:r>
    </w:p>
    <w:p w14:paraId="7D44855C" w14:textId="77777777" w:rsidR="00BE6986" w:rsidRDefault="00BE6986">
      <w:pPr>
        <w:jc w:val="both"/>
      </w:pPr>
    </w:p>
    <w:p w14:paraId="48BD0891" w14:textId="77777777" w:rsidR="00BE6986" w:rsidRDefault="0047414E">
      <w:pPr>
        <w:jc w:val="both"/>
        <w:rPr>
          <w:b/>
        </w:rPr>
      </w:pPr>
      <w:r>
        <w:rPr>
          <w:b/>
        </w:rPr>
        <w:t>As it might be supposed, a lower multiplier (even 0%, no hedge) would be the most appropriate in bullish periods, while the opposite is true in bearish periods (even 150%). In our opinion, the optimal value of the multiplica</w:t>
      </w:r>
      <w:r>
        <w:rPr>
          <w:b/>
        </w:rPr>
        <w:t>tor should be around 85% for risk lover and around 110-125% for risk averse investors. Note that the 150% multiplier brought down CAGR significantly (from 33% to 8.24%) in the 'Realistic' case, so we probably shouldn't hedge that much amount. The 85% multi</w:t>
      </w:r>
      <w:r>
        <w:rPr>
          <w:b/>
        </w:rPr>
        <w:t>plier decreased the CAGR to 20%, which is still fine.</w:t>
      </w:r>
    </w:p>
    <w:p w14:paraId="16FE7D1E" w14:textId="77777777" w:rsidR="00BE6986" w:rsidRDefault="00BE6986">
      <w:pPr>
        <w:jc w:val="both"/>
      </w:pPr>
    </w:p>
    <w:p w14:paraId="3C12A497" w14:textId="77777777" w:rsidR="00BE6986" w:rsidRDefault="0047414E">
      <w:pPr>
        <w:jc w:val="center"/>
      </w:pPr>
      <w:r>
        <w:rPr>
          <w:sz w:val="18"/>
          <w:szCs w:val="18"/>
        </w:rPr>
        <w:t>Chart 9a: Density of CAGRs using Simulated Returns - Realistic Returns</w:t>
      </w:r>
    </w:p>
    <w:p w14:paraId="324113A4" w14:textId="77777777" w:rsidR="00BE6986" w:rsidRDefault="0047414E">
      <w:pPr>
        <w:jc w:val="both"/>
      </w:pPr>
      <w:r>
        <w:rPr>
          <w:noProof/>
        </w:rPr>
        <w:drawing>
          <wp:inline distT="114300" distB="114300" distL="114300" distR="114300" wp14:anchorId="1C5B6CF0" wp14:editId="7A6EFA11">
            <wp:extent cx="7052400" cy="3327400"/>
            <wp:effectExtent l="0" t="0" r="0" b="0"/>
            <wp:docPr id="21"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61"/>
                    <a:srcRect/>
                    <a:stretch>
                      <a:fillRect/>
                    </a:stretch>
                  </pic:blipFill>
                  <pic:spPr>
                    <a:xfrm>
                      <a:off x="0" y="0"/>
                      <a:ext cx="7052400" cy="3327400"/>
                    </a:xfrm>
                    <a:prstGeom prst="rect">
                      <a:avLst/>
                    </a:prstGeom>
                    <a:ln/>
                  </pic:spPr>
                </pic:pic>
              </a:graphicData>
            </a:graphic>
          </wp:inline>
        </w:drawing>
      </w:r>
    </w:p>
    <w:p w14:paraId="059B4BCE" w14:textId="77777777" w:rsidR="00BE6986" w:rsidRDefault="0047414E">
      <w:pPr>
        <w:jc w:val="center"/>
        <w:rPr>
          <w:sz w:val="18"/>
          <w:szCs w:val="18"/>
        </w:rPr>
      </w:pPr>
      <w:r>
        <w:br w:type="page"/>
      </w:r>
    </w:p>
    <w:p w14:paraId="31B7CD6B" w14:textId="77777777" w:rsidR="00BE6986" w:rsidRDefault="0047414E">
      <w:pPr>
        <w:jc w:val="center"/>
      </w:pPr>
      <w:r>
        <w:rPr>
          <w:sz w:val="18"/>
          <w:szCs w:val="18"/>
        </w:rPr>
        <w:lastRenderedPageBreak/>
        <w:t>Chart 9b: Density of Sharpe Ratios using Simulated Returns - Realistic Returns</w:t>
      </w:r>
    </w:p>
    <w:p w14:paraId="73504275" w14:textId="77777777" w:rsidR="00BE6986" w:rsidRDefault="0047414E">
      <w:pPr>
        <w:jc w:val="both"/>
      </w:pPr>
      <w:r>
        <w:rPr>
          <w:noProof/>
        </w:rPr>
        <w:drawing>
          <wp:inline distT="114300" distB="114300" distL="114300" distR="114300" wp14:anchorId="0E7C57F0" wp14:editId="53464C1B">
            <wp:extent cx="7052400" cy="3327400"/>
            <wp:effectExtent l="0" t="0" r="0" b="0"/>
            <wp:docPr id="33"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62"/>
                    <a:srcRect/>
                    <a:stretch>
                      <a:fillRect/>
                    </a:stretch>
                  </pic:blipFill>
                  <pic:spPr>
                    <a:xfrm>
                      <a:off x="0" y="0"/>
                      <a:ext cx="7052400" cy="3327400"/>
                    </a:xfrm>
                    <a:prstGeom prst="rect">
                      <a:avLst/>
                    </a:prstGeom>
                    <a:ln/>
                  </pic:spPr>
                </pic:pic>
              </a:graphicData>
            </a:graphic>
          </wp:inline>
        </w:drawing>
      </w:r>
    </w:p>
    <w:p w14:paraId="6912725F" w14:textId="77777777" w:rsidR="00BE6986" w:rsidRDefault="00BE6986">
      <w:pPr>
        <w:jc w:val="center"/>
        <w:rPr>
          <w:sz w:val="18"/>
          <w:szCs w:val="18"/>
        </w:rPr>
      </w:pPr>
    </w:p>
    <w:p w14:paraId="03BA87B3" w14:textId="77777777" w:rsidR="00BE6986" w:rsidRDefault="0047414E">
      <w:pPr>
        <w:jc w:val="center"/>
        <w:rPr>
          <w:sz w:val="18"/>
          <w:szCs w:val="18"/>
        </w:rPr>
      </w:pPr>
      <w:r>
        <w:rPr>
          <w:sz w:val="18"/>
          <w:szCs w:val="18"/>
        </w:rPr>
        <w:t>Chart 9c: Density of Maximum Drawdowns using</w:t>
      </w:r>
      <w:r>
        <w:rPr>
          <w:sz w:val="18"/>
          <w:szCs w:val="18"/>
        </w:rPr>
        <w:t xml:space="preserve"> Simulated Returns - Realistic Returns</w:t>
      </w:r>
    </w:p>
    <w:p w14:paraId="25F481B2" w14:textId="77777777" w:rsidR="00BE6986" w:rsidRDefault="0047414E">
      <w:pPr>
        <w:jc w:val="both"/>
      </w:pPr>
      <w:r>
        <w:rPr>
          <w:noProof/>
        </w:rPr>
        <w:drawing>
          <wp:inline distT="114300" distB="114300" distL="114300" distR="114300" wp14:anchorId="4AE2914F" wp14:editId="70ED53F2">
            <wp:extent cx="7052400" cy="3327400"/>
            <wp:effectExtent l="0" t="0" r="0" b="0"/>
            <wp:docPr id="45"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63"/>
                    <a:srcRect/>
                    <a:stretch>
                      <a:fillRect/>
                    </a:stretch>
                  </pic:blipFill>
                  <pic:spPr>
                    <a:xfrm>
                      <a:off x="0" y="0"/>
                      <a:ext cx="7052400" cy="3327400"/>
                    </a:xfrm>
                    <a:prstGeom prst="rect">
                      <a:avLst/>
                    </a:prstGeom>
                    <a:ln/>
                  </pic:spPr>
                </pic:pic>
              </a:graphicData>
            </a:graphic>
          </wp:inline>
        </w:drawing>
      </w:r>
    </w:p>
    <w:p w14:paraId="30204ED3" w14:textId="77777777" w:rsidR="00BE6986" w:rsidRDefault="0047414E">
      <w:pPr>
        <w:jc w:val="center"/>
        <w:rPr>
          <w:sz w:val="18"/>
          <w:szCs w:val="18"/>
        </w:rPr>
      </w:pPr>
      <w:r>
        <w:br w:type="page"/>
      </w:r>
    </w:p>
    <w:p w14:paraId="627CC13A" w14:textId="77777777" w:rsidR="00BE6986" w:rsidRDefault="0047414E">
      <w:pPr>
        <w:jc w:val="center"/>
      </w:pPr>
      <w:r>
        <w:rPr>
          <w:sz w:val="18"/>
          <w:szCs w:val="18"/>
        </w:rPr>
        <w:lastRenderedPageBreak/>
        <w:t>Chart 10a: Density of CAGRs using Simulated Returns - Bearish Regime</w:t>
      </w:r>
    </w:p>
    <w:p w14:paraId="670DC055" w14:textId="77777777" w:rsidR="00BE6986" w:rsidRDefault="0047414E">
      <w:pPr>
        <w:jc w:val="center"/>
      </w:pPr>
      <w:r>
        <w:rPr>
          <w:noProof/>
        </w:rPr>
        <w:drawing>
          <wp:inline distT="114300" distB="114300" distL="114300" distR="114300" wp14:anchorId="5BBA595B" wp14:editId="1702EE60">
            <wp:extent cx="7052400" cy="3327400"/>
            <wp:effectExtent l="0" t="0" r="0" b="0"/>
            <wp:docPr id="34"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64"/>
                    <a:srcRect/>
                    <a:stretch>
                      <a:fillRect/>
                    </a:stretch>
                  </pic:blipFill>
                  <pic:spPr>
                    <a:xfrm>
                      <a:off x="0" y="0"/>
                      <a:ext cx="7052400" cy="3327400"/>
                    </a:xfrm>
                    <a:prstGeom prst="rect">
                      <a:avLst/>
                    </a:prstGeom>
                    <a:ln/>
                  </pic:spPr>
                </pic:pic>
              </a:graphicData>
            </a:graphic>
          </wp:inline>
        </w:drawing>
      </w:r>
    </w:p>
    <w:p w14:paraId="15987D29" w14:textId="77777777" w:rsidR="00BE6986" w:rsidRDefault="00BE6986">
      <w:pPr>
        <w:jc w:val="center"/>
        <w:rPr>
          <w:sz w:val="18"/>
          <w:szCs w:val="18"/>
        </w:rPr>
      </w:pPr>
    </w:p>
    <w:p w14:paraId="1606402D" w14:textId="77777777" w:rsidR="00BE6986" w:rsidRDefault="0047414E">
      <w:pPr>
        <w:jc w:val="center"/>
      </w:pPr>
      <w:r>
        <w:rPr>
          <w:sz w:val="18"/>
          <w:szCs w:val="18"/>
        </w:rPr>
        <w:t>Chart 10b: Density of Sharpe Ratios using Simulated Returns - Bearish Regime</w:t>
      </w:r>
    </w:p>
    <w:p w14:paraId="08D8AD42" w14:textId="77777777" w:rsidR="00BE6986" w:rsidRDefault="0047414E">
      <w:pPr>
        <w:jc w:val="center"/>
      </w:pPr>
      <w:r>
        <w:rPr>
          <w:noProof/>
        </w:rPr>
        <w:drawing>
          <wp:inline distT="114300" distB="114300" distL="114300" distR="114300" wp14:anchorId="667F8515" wp14:editId="452156E9">
            <wp:extent cx="7052400" cy="3327400"/>
            <wp:effectExtent l="0" t="0" r="0" b="0"/>
            <wp:docPr id="23"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65"/>
                    <a:srcRect/>
                    <a:stretch>
                      <a:fillRect/>
                    </a:stretch>
                  </pic:blipFill>
                  <pic:spPr>
                    <a:xfrm>
                      <a:off x="0" y="0"/>
                      <a:ext cx="7052400" cy="3327400"/>
                    </a:xfrm>
                    <a:prstGeom prst="rect">
                      <a:avLst/>
                    </a:prstGeom>
                    <a:ln/>
                  </pic:spPr>
                </pic:pic>
              </a:graphicData>
            </a:graphic>
          </wp:inline>
        </w:drawing>
      </w:r>
      <w:r>
        <w:br w:type="page"/>
      </w:r>
    </w:p>
    <w:p w14:paraId="7B7B6536" w14:textId="77777777" w:rsidR="00BE6986" w:rsidRDefault="0047414E">
      <w:pPr>
        <w:jc w:val="center"/>
      </w:pPr>
      <w:r>
        <w:rPr>
          <w:sz w:val="18"/>
          <w:szCs w:val="18"/>
        </w:rPr>
        <w:lastRenderedPageBreak/>
        <w:t>Chart 10c: Density of Maximum Drawdowns using Simulated Retur</w:t>
      </w:r>
      <w:r>
        <w:rPr>
          <w:sz w:val="18"/>
          <w:szCs w:val="18"/>
        </w:rPr>
        <w:t>ns - Bearish Regime</w:t>
      </w:r>
    </w:p>
    <w:p w14:paraId="47E6B736" w14:textId="77777777" w:rsidR="00BE6986" w:rsidRDefault="0047414E">
      <w:pPr>
        <w:jc w:val="center"/>
      </w:pPr>
      <w:r>
        <w:rPr>
          <w:noProof/>
        </w:rPr>
        <w:drawing>
          <wp:inline distT="114300" distB="114300" distL="114300" distR="114300" wp14:anchorId="2B101225" wp14:editId="2294E5B1">
            <wp:extent cx="7052400" cy="3327400"/>
            <wp:effectExtent l="0" t="0" r="0" b="0"/>
            <wp:docPr id="42"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66"/>
                    <a:srcRect/>
                    <a:stretch>
                      <a:fillRect/>
                    </a:stretch>
                  </pic:blipFill>
                  <pic:spPr>
                    <a:xfrm>
                      <a:off x="0" y="0"/>
                      <a:ext cx="7052400" cy="3327400"/>
                    </a:xfrm>
                    <a:prstGeom prst="rect">
                      <a:avLst/>
                    </a:prstGeom>
                    <a:ln/>
                  </pic:spPr>
                </pic:pic>
              </a:graphicData>
            </a:graphic>
          </wp:inline>
        </w:drawing>
      </w:r>
    </w:p>
    <w:p w14:paraId="790F7059" w14:textId="77777777" w:rsidR="00BE6986" w:rsidRDefault="00BE6986">
      <w:pPr>
        <w:jc w:val="center"/>
        <w:rPr>
          <w:sz w:val="18"/>
          <w:szCs w:val="18"/>
        </w:rPr>
      </w:pPr>
    </w:p>
    <w:p w14:paraId="60560F73" w14:textId="77777777" w:rsidR="00BE6986" w:rsidRDefault="0047414E">
      <w:pPr>
        <w:jc w:val="center"/>
      </w:pPr>
      <w:r>
        <w:rPr>
          <w:sz w:val="18"/>
          <w:szCs w:val="18"/>
        </w:rPr>
        <w:t>Chart 11a: Density of CAGRs using Simulated Returns - Bullish Regime</w:t>
      </w:r>
    </w:p>
    <w:p w14:paraId="609B9833" w14:textId="77777777" w:rsidR="00BE6986" w:rsidRDefault="0047414E">
      <w:pPr>
        <w:jc w:val="center"/>
      </w:pPr>
      <w:r>
        <w:rPr>
          <w:noProof/>
        </w:rPr>
        <w:drawing>
          <wp:inline distT="114300" distB="114300" distL="114300" distR="114300" wp14:anchorId="453C7F62" wp14:editId="3CEFA267">
            <wp:extent cx="7052400" cy="3327400"/>
            <wp:effectExtent l="0" t="0" r="0" b="0"/>
            <wp:docPr id="47"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67"/>
                    <a:srcRect/>
                    <a:stretch>
                      <a:fillRect/>
                    </a:stretch>
                  </pic:blipFill>
                  <pic:spPr>
                    <a:xfrm>
                      <a:off x="0" y="0"/>
                      <a:ext cx="7052400" cy="3327400"/>
                    </a:xfrm>
                    <a:prstGeom prst="rect">
                      <a:avLst/>
                    </a:prstGeom>
                    <a:ln/>
                  </pic:spPr>
                </pic:pic>
              </a:graphicData>
            </a:graphic>
          </wp:inline>
        </w:drawing>
      </w:r>
      <w:r>
        <w:br w:type="page"/>
      </w:r>
    </w:p>
    <w:p w14:paraId="4C2ACC2C" w14:textId="77777777" w:rsidR="00BE6986" w:rsidRDefault="0047414E">
      <w:pPr>
        <w:jc w:val="center"/>
      </w:pPr>
      <w:r>
        <w:rPr>
          <w:sz w:val="18"/>
          <w:szCs w:val="18"/>
        </w:rPr>
        <w:lastRenderedPageBreak/>
        <w:t>Chart 11b: Density of Sharpe Ratios using Simulated Returns - Bullish Regime</w:t>
      </w:r>
    </w:p>
    <w:p w14:paraId="20E78030" w14:textId="77777777" w:rsidR="00BE6986" w:rsidRDefault="0047414E">
      <w:pPr>
        <w:jc w:val="center"/>
      </w:pPr>
      <w:r>
        <w:rPr>
          <w:noProof/>
        </w:rPr>
        <w:drawing>
          <wp:inline distT="114300" distB="114300" distL="114300" distR="114300" wp14:anchorId="50360E0D" wp14:editId="44C5F13F">
            <wp:extent cx="7052400" cy="3327400"/>
            <wp:effectExtent l="0" t="0" r="0" b="0"/>
            <wp:docPr id="26"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68"/>
                    <a:srcRect/>
                    <a:stretch>
                      <a:fillRect/>
                    </a:stretch>
                  </pic:blipFill>
                  <pic:spPr>
                    <a:xfrm>
                      <a:off x="0" y="0"/>
                      <a:ext cx="7052400" cy="3327400"/>
                    </a:xfrm>
                    <a:prstGeom prst="rect">
                      <a:avLst/>
                    </a:prstGeom>
                    <a:ln/>
                  </pic:spPr>
                </pic:pic>
              </a:graphicData>
            </a:graphic>
          </wp:inline>
        </w:drawing>
      </w:r>
    </w:p>
    <w:p w14:paraId="6C2D80DC" w14:textId="77777777" w:rsidR="00BE6986" w:rsidRDefault="00BE6986">
      <w:pPr>
        <w:jc w:val="center"/>
        <w:rPr>
          <w:sz w:val="18"/>
          <w:szCs w:val="18"/>
        </w:rPr>
      </w:pPr>
    </w:p>
    <w:p w14:paraId="28B56671" w14:textId="77777777" w:rsidR="00BE6986" w:rsidRDefault="0047414E">
      <w:pPr>
        <w:jc w:val="center"/>
      </w:pPr>
      <w:r>
        <w:rPr>
          <w:sz w:val="18"/>
          <w:szCs w:val="18"/>
        </w:rPr>
        <w:t>Chart 11c: Density of Maximum Drawdowns using Simulated Returns - Bullish Regime</w:t>
      </w:r>
    </w:p>
    <w:p w14:paraId="5227D3E4" w14:textId="77777777" w:rsidR="00BE6986" w:rsidRDefault="0047414E">
      <w:pPr>
        <w:jc w:val="both"/>
      </w:pPr>
      <w:r>
        <w:rPr>
          <w:noProof/>
        </w:rPr>
        <w:drawing>
          <wp:inline distT="114300" distB="114300" distL="114300" distR="114300" wp14:anchorId="78C4E6A2" wp14:editId="34D0D282">
            <wp:extent cx="7052400" cy="3327400"/>
            <wp:effectExtent l="0" t="0" r="0" b="0"/>
            <wp:docPr id="54" name="image53.jpg"/>
            <wp:cNvGraphicFramePr/>
            <a:graphic xmlns:a="http://schemas.openxmlformats.org/drawingml/2006/main">
              <a:graphicData uri="http://schemas.openxmlformats.org/drawingml/2006/picture">
                <pic:pic xmlns:pic="http://schemas.openxmlformats.org/drawingml/2006/picture">
                  <pic:nvPicPr>
                    <pic:cNvPr id="0" name="image53.jpg"/>
                    <pic:cNvPicPr preferRelativeResize="0"/>
                  </pic:nvPicPr>
                  <pic:blipFill>
                    <a:blip r:embed="rId69"/>
                    <a:srcRect/>
                    <a:stretch>
                      <a:fillRect/>
                    </a:stretch>
                  </pic:blipFill>
                  <pic:spPr>
                    <a:xfrm>
                      <a:off x="0" y="0"/>
                      <a:ext cx="7052400" cy="3327400"/>
                    </a:xfrm>
                    <a:prstGeom prst="rect">
                      <a:avLst/>
                    </a:prstGeom>
                    <a:ln/>
                  </pic:spPr>
                </pic:pic>
              </a:graphicData>
            </a:graphic>
          </wp:inline>
        </w:drawing>
      </w:r>
    </w:p>
    <w:p w14:paraId="5CF8BFAC" w14:textId="77777777" w:rsidR="00BE6986" w:rsidRDefault="0047414E">
      <w:pPr>
        <w:jc w:val="center"/>
        <w:rPr>
          <w:sz w:val="18"/>
          <w:szCs w:val="18"/>
        </w:rPr>
      </w:pPr>
      <w:r>
        <w:br w:type="page"/>
      </w:r>
    </w:p>
    <w:p w14:paraId="4DDE0E43" w14:textId="77777777" w:rsidR="00BE6986" w:rsidRDefault="0047414E">
      <w:pPr>
        <w:jc w:val="center"/>
      </w:pPr>
      <w:r>
        <w:rPr>
          <w:sz w:val="18"/>
          <w:szCs w:val="18"/>
        </w:rPr>
        <w:lastRenderedPageBreak/>
        <w:t>Table 7: Average Performance Indicators using Simulated Daily Returns, Daily Betas and 1-Year Lookback Period</w:t>
      </w:r>
    </w:p>
    <w:p w14:paraId="5AD605F1" w14:textId="77777777" w:rsidR="00BE6986" w:rsidRDefault="0047414E">
      <w:pPr>
        <w:jc w:val="center"/>
      </w:pPr>
      <w:r>
        <w:rPr>
          <w:noProof/>
        </w:rPr>
        <w:drawing>
          <wp:inline distT="114300" distB="114300" distL="114300" distR="114300" wp14:anchorId="4A28903B" wp14:editId="1131FA75">
            <wp:extent cx="5086350" cy="2657475"/>
            <wp:effectExtent l="0" t="0" r="0" b="0"/>
            <wp:docPr id="2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70"/>
                    <a:srcRect/>
                    <a:stretch>
                      <a:fillRect/>
                    </a:stretch>
                  </pic:blipFill>
                  <pic:spPr>
                    <a:xfrm>
                      <a:off x="0" y="0"/>
                      <a:ext cx="5086350" cy="2657475"/>
                    </a:xfrm>
                    <a:prstGeom prst="rect">
                      <a:avLst/>
                    </a:prstGeom>
                    <a:ln/>
                  </pic:spPr>
                </pic:pic>
              </a:graphicData>
            </a:graphic>
          </wp:inline>
        </w:drawing>
      </w:r>
    </w:p>
    <w:p w14:paraId="5FAED414" w14:textId="77777777" w:rsidR="00BE6986" w:rsidRDefault="0047414E">
      <w:pPr>
        <w:pStyle w:val="Heading2"/>
        <w:rPr>
          <w:color w:val="4A86E8"/>
          <w:sz w:val="28"/>
          <w:szCs w:val="28"/>
        </w:rPr>
      </w:pPr>
      <w:bookmarkStart w:id="13" w:name="_le0yalw70snc" w:colFirst="0" w:colLast="0"/>
      <w:bookmarkEnd w:id="13"/>
      <w:r>
        <w:br w:type="page"/>
      </w:r>
    </w:p>
    <w:p w14:paraId="510AE1D3" w14:textId="77777777" w:rsidR="00BE6986" w:rsidRDefault="0047414E">
      <w:pPr>
        <w:pStyle w:val="Heading2"/>
        <w:rPr>
          <w:color w:val="4A86E8"/>
          <w:sz w:val="28"/>
          <w:szCs w:val="28"/>
        </w:rPr>
      </w:pPr>
      <w:bookmarkStart w:id="14" w:name="_6hj7hujq7hgi" w:colFirst="0" w:colLast="0"/>
      <w:bookmarkEnd w:id="14"/>
      <w:r>
        <w:rPr>
          <w:color w:val="4A86E8"/>
          <w:sz w:val="28"/>
          <w:szCs w:val="28"/>
        </w:rPr>
        <w:lastRenderedPageBreak/>
        <w:t xml:space="preserve">Optimal Beta for Individual </w:t>
      </w:r>
      <w:proofErr w:type="spellStart"/>
      <w:r>
        <w:rPr>
          <w:color w:val="4A86E8"/>
          <w:sz w:val="28"/>
          <w:szCs w:val="28"/>
        </w:rPr>
        <w:t>GameChanger</w:t>
      </w:r>
      <w:proofErr w:type="spellEnd"/>
      <w:r>
        <w:rPr>
          <w:color w:val="4A86E8"/>
          <w:sz w:val="28"/>
          <w:szCs w:val="28"/>
        </w:rPr>
        <w:t xml:space="preserve"> Stocks?</w:t>
      </w:r>
    </w:p>
    <w:p w14:paraId="29863E56" w14:textId="77777777" w:rsidR="00BE6986" w:rsidRDefault="00BE6986">
      <w:pPr>
        <w:jc w:val="center"/>
        <w:rPr>
          <w:sz w:val="18"/>
          <w:szCs w:val="18"/>
        </w:rPr>
      </w:pPr>
    </w:p>
    <w:p w14:paraId="1E122530" w14:textId="77777777" w:rsidR="00BE6986" w:rsidRDefault="0047414E">
      <w:pPr>
        <w:jc w:val="both"/>
      </w:pPr>
      <w:r>
        <w:t>In the p</w:t>
      </w:r>
      <w:r>
        <w:t xml:space="preserve">revious sections we have dealt with the virtual </w:t>
      </w:r>
      <w:proofErr w:type="spellStart"/>
      <w:r>
        <w:rPr>
          <w:b/>
        </w:rPr>
        <w:t>EqualWeighted</w:t>
      </w:r>
      <w:proofErr w:type="spellEnd"/>
      <w:r>
        <w:rPr>
          <w:b/>
        </w:rPr>
        <w:t xml:space="preserve"> </w:t>
      </w:r>
      <w:proofErr w:type="spellStart"/>
      <w:r>
        <w:rPr>
          <w:b/>
        </w:rPr>
        <w:t>GameChanger</w:t>
      </w:r>
      <w:proofErr w:type="spellEnd"/>
      <w:r>
        <w:rPr>
          <w:b/>
        </w:rPr>
        <w:t xml:space="preserve"> (</w:t>
      </w:r>
      <w:proofErr w:type="spellStart"/>
      <w:r>
        <w:rPr>
          <w:b/>
        </w:rPr>
        <w:t>EWGCh</w:t>
      </w:r>
      <w:proofErr w:type="spellEnd"/>
      <w:r>
        <w:rPr>
          <w:b/>
        </w:rPr>
        <w:t>) stock</w:t>
      </w:r>
      <w:r>
        <w:t xml:space="preserve"> (as a proxy of our real life </w:t>
      </w:r>
      <w:proofErr w:type="spellStart"/>
      <w:r>
        <w:t>GameChanger</w:t>
      </w:r>
      <w:proofErr w:type="spellEnd"/>
      <w:r>
        <w:t xml:space="preserve"> portfolio) and we have found that this is a</w:t>
      </w:r>
      <w:r>
        <w:rPr>
          <w:b/>
        </w:rPr>
        <w:t xml:space="preserve"> better way to hedge, as if we were doing it separately for each stock </w:t>
      </w:r>
      <w:r>
        <w:t>(e.g. with st</w:t>
      </w:r>
      <w:r>
        <w:t xml:space="preserve">ock specific put options). But what if we want to </w:t>
      </w:r>
      <w:r>
        <w:rPr>
          <w:b/>
        </w:rPr>
        <w:t>hedge only one or two stocks</w:t>
      </w:r>
      <w:r>
        <w:t xml:space="preserve"> (for example we would like holding only AAPL and AMZN)? Can these QQQ betas be used then? </w:t>
      </w:r>
    </w:p>
    <w:p w14:paraId="392961E7" w14:textId="77777777" w:rsidR="00BE6986" w:rsidRDefault="00BE6986">
      <w:pPr>
        <w:jc w:val="both"/>
      </w:pPr>
    </w:p>
    <w:p w14:paraId="039DAEFE" w14:textId="77777777" w:rsidR="00BE6986" w:rsidRDefault="0047414E">
      <w:pPr>
        <w:jc w:val="both"/>
      </w:pPr>
      <w:r>
        <w:t xml:space="preserve">Table 8a-c show betas of </w:t>
      </w:r>
      <w:proofErr w:type="spellStart"/>
      <w:r>
        <w:t>GameChanger</w:t>
      </w:r>
      <w:proofErr w:type="spellEnd"/>
      <w:r>
        <w:t xml:space="preserve"> stocks and their reliability using </w:t>
      </w:r>
      <w:r>
        <w:rPr>
          <w:b/>
        </w:rPr>
        <w:t>daily, ‘End-o</w:t>
      </w:r>
      <w:r>
        <w:rPr>
          <w:b/>
        </w:rPr>
        <w:t>f-Month’ monthly and ‘Mid-Month’ monthly betas in comparison to QQQ using all available data from 2004 to 2018</w:t>
      </w:r>
      <w:r>
        <w:t xml:space="preserve">. In these tables, not only </w:t>
      </w:r>
      <w:r>
        <w:rPr>
          <w:b/>
        </w:rPr>
        <w:t>‘Total’ days/months</w:t>
      </w:r>
      <w:r>
        <w:t xml:space="preserve"> but also </w:t>
      </w:r>
      <w:r>
        <w:rPr>
          <w:b/>
        </w:rPr>
        <w:t>extreme bullish and bearish QQQ days/months</w:t>
      </w:r>
      <w:r>
        <w:t xml:space="preserve"> are shown separately. Based on these figures </w:t>
      </w:r>
      <w:r>
        <w:t>it can be concluded that while</w:t>
      </w:r>
      <w:r>
        <w:rPr>
          <w:b/>
        </w:rPr>
        <w:t xml:space="preserve"> in case of the virtual </w:t>
      </w:r>
      <w:proofErr w:type="spellStart"/>
      <w:r>
        <w:rPr>
          <w:b/>
        </w:rPr>
        <w:t>EWGCh</w:t>
      </w:r>
      <w:proofErr w:type="spellEnd"/>
      <w:r>
        <w:rPr>
          <w:b/>
        </w:rPr>
        <w:t xml:space="preserve"> stock these numbers are close to each other and reliability (R</w:t>
      </w:r>
      <w:r>
        <w:rPr>
          <w:b/>
          <w:vertAlign w:val="superscript"/>
        </w:rPr>
        <w:t>2</w:t>
      </w:r>
      <w:r>
        <w:rPr>
          <w:b/>
        </w:rPr>
        <w:t>) is high, in case of some companies this is not always the case</w:t>
      </w:r>
      <w:r>
        <w:t xml:space="preserve">. </w:t>
      </w:r>
      <w:r>
        <w:rPr>
          <w:b/>
        </w:rPr>
        <w:t xml:space="preserve">Reliability is much lower for every </w:t>
      </w:r>
      <w:proofErr w:type="gramStart"/>
      <w:r>
        <w:rPr>
          <w:b/>
        </w:rPr>
        <w:t>stocks</w:t>
      </w:r>
      <w:proofErr w:type="gramEnd"/>
      <w:r>
        <w:rPr>
          <w:b/>
        </w:rPr>
        <w:t xml:space="preserve"> than for the virtual </w:t>
      </w:r>
      <w:proofErr w:type="spellStart"/>
      <w:r>
        <w:rPr>
          <w:b/>
        </w:rPr>
        <w:t>EWG</w:t>
      </w:r>
      <w:r>
        <w:rPr>
          <w:b/>
        </w:rPr>
        <w:t>Ch</w:t>
      </w:r>
      <w:proofErr w:type="spellEnd"/>
      <w:r>
        <w:rPr>
          <w:b/>
        </w:rPr>
        <w:t xml:space="preserve"> aggregate</w:t>
      </w:r>
      <w:r>
        <w:t xml:space="preserve">.  Furthermore, it is also interesting to see that while </w:t>
      </w:r>
      <w:r>
        <w:rPr>
          <w:b/>
        </w:rPr>
        <w:t xml:space="preserve">in case of the </w:t>
      </w:r>
      <w:proofErr w:type="spellStart"/>
      <w:r>
        <w:rPr>
          <w:b/>
        </w:rPr>
        <w:t>EWGCh</w:t>
      </w:r>
      <w:proofErr w:type="spellEnd"/>
      <w:r>
        <w:rPr>
          <w:b/>
        </w:rPr>
        <w:t xml:space="preserve"> stock the numbers in Table 8b and 8c are almost the same (and in Table 8a as well), this is not entirely true for individual stocks, although they use monthly returns</w:t>
      </w:r>
      <w:r>
        <w:rPr>
          <w:b/>
        </w:rPr>
        <w:t xml:space="preserve"> as well with just 2 weeks of difference</w:t>
      </w:r>
      <w:r>
        <w:t xml:space="preserve">. For example, in case of the FB, End-of-Month (EOM) betas are positive in extreme bullish/bearish months, while negative(!) in case of Mid-Month (MM) betas. </w:t>
      </w:r>
      <w:r>
        <w:rPr>
          <w:b/>
        </w:rPr>
        <w:t>These differences are caused by some stock specific outlie</w:t>
      </w:r>
      <w:r>
        <w:rPr>
          <w:b/>
        </w:rPr>
        <w:t xml:space="preserve">rs (e.g. earnings report, product release etc.) which are ‘balanced’ in case of </w:t>
      </w:r>
      <w:proofErr w:type="spellStart"/>
      <w:r>
        <w:rPr>
          <w:b/>
        </w:rPr>
        <w:t>EWGCh</w:t>
      </w:r>
      <w:proofErr w:type="spellEnd"/>
      <w:r>
        <w:rPr>
          <w:b/>
        </w:rPr>
        <w:t xml:space="preserve"> and daily betas but not in case of individual stocks and monthly betas, which is exactly what </w:t>
      </w:r>
      <w:proofErr w:type="spellStart"/>
      <w:r>
        <w:rPr>
          <w:b/>
        </w:rPr>
        <w:t>YahooFinance</w:t>
      </w:r>
      <w:proofErr w:type="spellEnd"/>
      <w:r>
        <w:rPr>
          <w:b/>
        </w:rPr>
        <w:t xml:space="preserve"> provides.</w:t>
      </w:r>
      <w:r>
        <w:t xml:space="preserve"> These outliers and their effects can be clearly seen </w:t>
      </w:r>
      <w:r>
        <w:t>in Chart 12-13.</w:t>
      </w:r>
    </w:p>
    <w:p w14:paraId="534EF21B" w14:textId="77777777" w:rsidR="00BE6986" w:rsidRDefault="00BE6986">
      <w:pPr>
        <w:jc w:val="both"/>
      </w:pPr>
    </w:p>
    <w:p w14:paraId="16AAD99E" w14:textId="77777777" w:rsidR="00BE6986" w:rsidRDefault="0047414E">
      <w:pPr>
        <w:jc w:val="both"/>
        <w:rPr>
          <w:b/>
        </w:rPr>
      </w:pPr>
      <w:r>
        <w:t xml:space="preserve">All in all, we </w:t>
      </w:r>
      <w:r>
        <w:rPr>
          <w:b/>
        </w:rPr>
        <w:t>do not recommend using QQQ (and thus these betas) for hedging one or two individual stocks. In this case, stock specific put options are much more appropriate.</w:t>
      </w:r>
    </w:p>
    <w:p w14:paraId="336B33C7" w14:textId="77777777" w:rsidR="00BE6986" w:rsidRDefault="00BE6986">
      <w:pPr>
        <w:spacing w:before="60" w:line="273" w:lineRule="auto"/>
        <w:jc w:val="center"/>
        <w:rPr>
          <w:sz w:val="18"/>
          <w:szCs w:val="18"/>
        </w:rPr>
      </w:pPr>
    </w:p>
    <w:p w14:paraId="32AE27AB" w14:textId="77777777" w:rsidR="00BE6986" w:rsidRDefault="0047414E">
      <w:pPr>
        <w:spacing w:before="60" w:line="273" w:lineRule="auto"/>
        <w:jc w:val="center"/>
      </w:pPr>
      <w:r>
        <w:rPr>
          <w:sz w:val="18"/>
          <w:szCs w:val="18"/>
        </w:rPr>
        <w:t xml:space="preserve">Table 8a: Betas of </w:t>
      </w:r>
      <w:proofErr w:type="spellStart"/>
      <w:r>
        <w:rPr>
          <w:sz w:val="18"/>
          <w:szCs w:val="18"/>
        </w:rPr>
        <w:t>GCh</w:t>
      </w:r>
      <w:proofErr w:type="spellEnd"/>
      <w:r>
        <w:rPr>
          <w:sz w:val="18"/>
          <w:szCs w:val="18"/>
        </w:rPr>
        <w:t xml:space="preserve"> Stocks and their Reliability using Daily</w:t>
      </w:r>
      <w:r>
        <w:rPr>
          <w:sz w:val="18"/>
          <w:szCs w:val="18"/>
        </w:rPr>
        <w:t xml:space="preserve"> Beta and all data (Maximum </w:t>
      </w:r>
      <w:proofErr w:type="gramStart"/>
      <w:r>
        <w:rPr>
          <w:sz w:val="18"/>
          <w:szCs w:val="18"/>
        </w:rPr>
        <w:t>Lookback)  from</w:t>
      </w:r>
      <w:proofErr w:type="gramEnd"/>
      <w:r>
        <w:rPr>
          <w:sz w:val="18"/>
          <w:szCs w:val="18"/>
        </w:rPr>
        <w:t xml:space="preserve"> 2004 to 2018</w:t>
      </w:r>
    </w:p>
    <w:p w14:paraId="5E34A4CF" w14:textId="77777777" w:rsidR="00BE6986" w:rsidRDefault="0047414E">
      <w:pPr>
        <w:jc w:val="both"/>
      </w:pPr>
      <w:r>
        <w:rPr>
          <w:noProof/>
        </w:rPr>
        <w:drawing>
          <wp:inline distT="114300" distB="114300" distL="114300" distR="114300" wp14:anchorId="456217DF" wp14:editId="5F3A96C8">
            <wp:extent cx="7048500" cy="2264138"/>
            <wp:effectExtent l="0" t="0" r="0" b="0"/>
            <wp:docPr id="1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71"/>
                    <a:srcRect/>
                    <a:stretch>
                      <a:fillRect/>
                    </a:stretch>
                  </pic:blipFill>
                  <pic:spPr>
                    <a:xfrm>
                      <a:off x="0" y="0"/>
                      <a:ext cx="7048500" cy="2264138"/>
                    </a:xfrm>
                    <a:prstGeom prst="rect">
                      <a:avLst/>
                    </a:prstGeom>
                    <a:ln/>
                  </pic:spPr>
                </pic:pic>
              </a:graphicData>
            </a:graphic>
          </wp:inline>
        </w:drawing>
      </w:r>
    </w:p>
    <w:p w14:paraId="24A3834D" w14:textId="77777777" w:rsidR="00BE6986" w:rsidRDefault="0047414E">
      <w:pPr>
        <w:jc w:val="center"/>
        <w:rPr>
          <w:sz w:val="18"/>
          <w:szCs w:val="18"/>
        </w:rPr>
      </w:pPr>
      <w:r>
        <w:br w:type="page"/>
      </w:r>
    </w:p>
    <w:p w14:paraId="2FF0DC3E" w14:textId="77777777" w:rsidR="00BE6986" w:rsidRDefault="0047414E">
      <w:pPr>
        <w:jc w:val="center"/>
      </w:pPr>
      <w:r>
        <w:rPr>
          <w:sz w:val="18"/>
          <w:szCs w:val="18"/>
        </w:rPr>
        <w:lastRenderedPageBreak/>
        <w:t xml:space="preserve">Table 8b: Betas of </w:t>
      </w:r>
      <w:proofErr w:type="spellStart"/>
      <w:r>
        <w:rPr>
          <w:sz w:val="18"/>
          <w:szCs w:val="18"/>
        </w:rPr>
        <w:t>GCh</w:t>
      </w:r>
      <w:proofErr w:type="spellEnd"/>
      <w:r>
        <w:rPr>
          <w:sz w:val="18"/>
          <w:szCs w:val="18"/>
        </w:rPr>
        <w:t xml:space="preserve"> Stocks and their Reliability using Monthly Beta (EOM) and all data (Maximum </w:t>
      </w:r>
      <w:proofErr w:type="gramStart"/>
      <w:r>
        <w:rPr>
          <w:sz w:val="18"/>
          <w:szCs w:val="18"/>
        </w:rPr>
        <w:t>Lookback)  from</w:t>
      </w:r>
      <w:proofErr w:type="gramEnd"/>
      <w:r>
        <w:rPr>
          <w:sz w:val="18"/>
          <w:szCs w:val="18"/>
        </w:rPr>
        <w:t xml:space="preserve"> 2004 to 2018</w:t>
      </w:r>
    </w:p>
    <w:p w14:paraId="463E0400" w14:textId="77777777" w:rsidR="00BE6986" w:rsidRDefault="0047414E">
      <w:pPr>
        <w:jc w:val="both"/>
      </w:pPr>
      <w:r>
        <w:rPr>
          <w:noProof/>
        </w:rPr>
        <w:drawing>
          <wp:inline distT="114300" distB="114300" distL="114300" distR="114300" wp14:anchorId="65B76F83" wp14:editId="493DF444">
            <wp:extent cx="7048500" cy="2197463"/>
            <wp:effectExtent l="0" t="0" r="0" b="0"/>
            <wp:docPr id="53"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72"/>
                    <a:srcRect/>
                    <a:stretch>
                      <a:fillRect/>
                    </a:stretch>
                  </pic:blipFill>
                  <pic:spPr>
                    <a:xfrm>
                      <a:off x="0" y="0"/>
                      <a:ext cx="7048500" cy="2197463"/>
                    </a:xfrm>
                    <a:prstGeom prst="rect">
                      <a:avLst/>
                    </a:prstGeom>
                    <a:ln/>
                  </pic:spPr>
                </pic:pic>
              </a:graphicData>
            </a:graphic>
          </wp:inline>
        </w:drawing>
      </w:r>
    </w:p>
    <w:p w14:paraId="542C46CB" w14:textId="77777777" w:rsidR="00BE6986" w:rsidRDefault="0047414E">
      <w:pPr>
        <w:jc w:val="center"/>
      </w:pPr>
      <w:r>
        <w:rPr>
          <w:sz w:val="18"/>
          <w:szCs w:val="18"/>
        </w:rPr>
        <w:t xml:space="preserve">Table 8c: Betas of </w:t>
      </w:r>
      <w:proofErr w:type="spellStart"/>
      <w:r>
        <w:rPr>
          <w:sz w:val="18"/>
          <w:szCs w:val="18"/>
        </w:rPr>
        <w:t>GCh</w:t>
      </w:r>
      <w:proofErr w:type="spellEnd"/>
      <w:r>
        <w:rPr>
          <w:sz w:val="18"/>
          <w:szCs w:val="18"/>
        </w:rPr>
        <w:t xml:space="preserve"> Stocks and their Reliability using Monthly</w:t>
      </w:r>
      <w:r>
        <w:rPr>
          <w:sz w:val="18"/>
          <w:szCs w:val="18"/>
        </w:rPr>
        <w:t xml:space="preserve"> Beta (Mid-Month) and all data (Maximum </w:t>
      </w:r>
      <w:proofErr w:type="gramStart"/>
      <w:r>
        <w:rPr>
          <w:sz w:val="18"/>
          <w:szCs w:val="18"/>
        </w:rPr>
        <w:t>Lookback)  from</w:t>
      </w:r>
      <w:proofErr w:type="gramEnd"/>
      <w:r>
        <w:rPr>
          <w:sz w:val="18"/>
          <w:szCs w:val="18"/>
        </w:rPr>
        <w:t xml:space="preserve"> 2004 to 2018</w:t>
      </w:r>
    </w:p>
    <w:p w14:paraId="41A4CEEF" w14:textId="77777777" w:rsidR="00BE6986" w:rsidRDefault="0047414E">
      <w:pPr>
        <w:jc w:val="both"/>
      </w:pPr>
      <w:r>
        <w:rPr>
          <w:noProof/>
        </w:rPr>
        <w:drawing>
          <wp:inline distT="114300" distB="114300" distL="114300" distR="114300" wp14:anchorId="68D0C252" wp14:editId="2BBBBA07">
            <wp:extent cx="7052400" cy="252730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3"/>
                    <a:srcRect/>
                    <a:stretch>
                      <a:fillRect/>
                    </a:stretch>
                  </pic:blipFill>
                  <pic:spPr>
                    <a:xfrm>
                      <a:off x="0" y="0"/>
                      <a:ext cx="7052400" cy="2527300"/>
                    </a:xfrm>
                    <a:prstGeom prst="rect">
                      <a:avLst/>
                    </a:prstGeom>
                    <a:ln/>
                  </pic:spPr>
                </pic:pic>
              </a:graphicData>
            </a:graphic>
          </wp:inline>
        </w:drawing>
      </w:r>
    </w:p>
    <w:p w14:paraId="6AA383F5" w14:textId="77777777" w:rsidR="00BE6986" w:rsidRDefault="00BE6986">
      <w:pPr>
        <w:jc w:val="center"/>
      </w:pPr>
    </w:p>
    <w:p w14:paraId="1E0A45BE" w14:textId="77777777" w:rsidR="00BE6986" w:rsidRDefault="0047414E">
      <w:pPr>
        <w:jc w:val="center"/>
        <w:rPr>
          <w:sz w:val="18"/>
          <w:szCs w:val="18"/>
        </w:rPr>
      </w:pPr>
      <w:r>
        <w:br w:type="page"/>
      </w:r>
    </w:p>
    <w:p w14:paraId="0B22478B" w14:textId="77777777" w:rsidR="00BE6986" w:rsidRDefault="0047414E">
      <w:pPr>
        <w:jc w:val="center"/>
      </w:pPr>
      <w:r>
        <w:rPr>
          <w:sz w:val="18"/>
          <w:szCs w:val="18"/>
        </w:rPr>
        <w:lastRenderedPageBreak/>
        <w:t>Chart 12: Linear Regression Chart - FB vs. QQQ using Monthly Returns (Mid-Month) from 2004 to 2018 - When QQQ Monthly % Change &gt;=4%</w:t>
      </w:r>
    </w:p>
    <w:p w14:paraId="3D1F57D8" w14:textId="77777777" w:rsidR="00BE6986" w:rsidRDefault="0047414E">
      <w:pPr>
        <w:jc w:val="center"/>
      </w:pPr>
      <w:r>
        <w:rPr>
          <w:noProof/>
        </w:rPr>
        <w:drawing>
          <wp:inline distT="114300" distB="114300" distL="114300" distR="114300" wp14:anchorId="5BDC6A25" wp14:editId="31E0F1D9">
            <wp:extent cx="7052400" cy="3962400"/>
            <wp:effectExtent l="0" t="0" r="0" b="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4"/>
                    <a:srcRect/>
                    <a:stretch>
                      <a:fillRect/>
                    </a:stretch>
                  </pic:blipFill>
                  <pic:spPr>
                    <a:xfrm>
                      <a:off x="0" y="0"/>
                      <a:ext cx="7052400" cy="3962400"/>
                    </a:xfrm>
                    <a:prstGeom prst="rect">
                      <a:avLst/>
                    </a:prstGeom>
                    <a:ln/>
                  </pic:spPr>
                </pic:pic>
              </a:graphicData>
            </a:graphic>
          </wp:inline>
        </w:drawing>
      </w:r>
    </w:p>
    <w:p w14:paraId="7679C3B8" w14:textId="77777777" w:rsidR="00BE6986" w:rsidRDefault="00BE6986">
      <w:pPr>
        <w:jc w:val="center"/>
        <w:rPr>
          <w:sz w:val="18"/>
          <w:szCs w:val="18"/>
        </w:rPr>
      </w:pPr>
    </w:p>
    <w:p w14:paraId="38566A46" w14:textId="77777777" w:rsidR="00BE6986" w:rsidRDefault="0047414E">
      <w:pPr>
        <w:jc w:val="center"/>
      </w:pPr>
      <w:r>
        <w:rPr>
          <w:sz w:val="18"/>
          <w:szCs w:val="18"/>
        </w:rPr>
        <w:t>Chart 13: Linear Regression Chart - NFLX vs. QQQ using Daily Returns in 2018 - All Days</w:t>
      </w:r>
    </w:p>
    <w:p w14:paraId="6637BFCB" w14:textId="77777777" w:rsidR="00BE6986" w:rsidRDefault="0047414E">
      <w:pPr>
        <w:jc w:val="center"/>
      </w:pPr>
      <w:r>
        <w:rPr>
          <w:noProof/>
        </w:rPr>
        <w:drawing>
          <wp:inline distT="114300" distB="114300" distL="114300" distR="114300" wp14:anchorId="1DAAD498" wp14:editId="3DAA9EFD">
            <wp:extent cx="7052400" cy="3467100"/>
            <wp:effectExtent l="0" t="0" r="0" b="0"/>
            <wp:docPr id="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75"/>
                    <a:srcRect/>
                    <a:stretch>
                      <a:fillRect/>
                    </a:stretch>
                  </pic:blipFill>
                  <pic:spPr>
                    <a:xfrm>
                      <a:off x="0" y="0"/>
                      <a:ext cx="7052400" cy="3467100"/>
                    </a:xfrm>
                    <a:prstGeom prst="rect">
                      <a:avLst/>
                    </a:prstGeom>
                    <a:ln/>
                  </pic:spPr>
                </pic:pic>
              </a:graphicData>
            </a:graphic>
          </wp:inline>
        </w:drawing>
      </w:r>
    </w:p>
    <w:p w14:paraId="03C5A9B7" w14:textId="77777777" w:rsidR="00BE6986" w:rsidRDefault="0047414E">
      <w:pPr>
        <w:jc w:val="both"/>
      </w:pPr>
      <w:r>
        <w:br w:type="page"/>
      </w:r>
    </w:p>
    <w:p w14:paraId="510C7239" w14:textId="77777777" w:rsidR="00BE6986" w:rsidRDefault="0047414E">
      <w:pPr>
        <w:jc w:val="both"/>
        <w:rPr>
          <w:b/>
        </w:rPr>
      </w:pPr>
      <w:r>
        <w:lastRenderedPageBreak/>
        <w:t xml:space="preserve">Finally, let us see </w:t>
      </w:r>
      <w:r>
        <w:rPr>
          <w:b/>
        </w:rPr>
        <w:t>how useful the betas shown by Yahoo Finance are</w:t>
      </w:r>
      <w:r>
        <w:t xml:space="preserve">. These are betas </w:t>
      </w:r>
      <w:r>
        <w:rPr>
          <w:b/>
        </w:rPr>
        <w:t>in</w:t>
      </w:r>
      <w:r>
        <w:t xml:space="preserve"> </w:t>
      </w:r>
      <w:r>
        <w:rPr>
          <w:b/>
        </w:rPr>
        <w:t>comparison to SPY</w:t>
      </w:r>
      <w:r>
        <w:t xml:space="preserve"> (it was shown above that these are less useful for </w:t>
      </w:r>
      <w:proofErr w:type="spellStart"/>
      <w:r>
        <w:t>GameCha</w:t>
      </w:r>
      <w:r>
        <w:t>nger</w:t>
      </w:r>
      <w:proofErr w:type="spellEnd"/>
      <w:r>
        <w:t xml:space="preserve"> stocks than betas in comparison to QQQ). They use </w:t>
      </w:r>
      <w:r>
        <w:rPr>
          <w:b/>
        </w:rPr>
        <w:t>monthly return</w:t>
      </w:r>
      <w:r>
        <w:t xml:space="preserve"> with </w:t>
      </w:r>
      <w:r>
        <w:rPr>
          <w:b/>
        </w:rPr>
        <w:t>3-year lookback period</w:t>
      </w:r>
      <w:r>
        <w:t xml:space="preserve"> (only 36 data points). These returns are based on the close prices on the </w:t>
      </w:r>
      <w:r>
        <w:rPr>
          <w:b/>
        </w:rPr>
        <w:t>first trading day of each month</w:t>
      </w:r>
      <w:r>
        <w:t xml:space="preserve"> (interestingly, for Yahoo Finance, not the close pri</w:t>
      </w:r>
      <w:r>
        <w:t>ce on the last trading day is the close price of a month).</w:t>
      </w:r>
      <w:r>
        <w:rPr>
          <w:vertAlign w:val="superscript"/>
        </w:rPr>
        <w:footnoteReference w:id="11"/>
      </w:r>
      <w:r>
        <w:t xml:space="preserve"> Table 9 contains daily, EOM (End-of-Month) monthly (as we used) and BOM (Beginning-of-Month) monthly (as YF use) betas of </w:t>
      </w:r>
      <w:proofErr w:type="spellStart"/>
      <w:r>
        <w:t>GameChanger</w:t>
      </w:r>
      <w:proofErr w:type="spellEnd"/>
      <w:r>
        <w:t xml:space="preserve"> stocks in comparison to SPY on 2018-12-31. It should be noted</w:t>
      </w:r>
      <w:r>
        <w:t xml:space="preserve"> that </w:t>
      </w:r>
      <w:r>
        <w:rPr>
          <w:b/>
        </w:rPr>
        <w:t>we managed to perfectly reproduce the betas shown in YF</w:t>
      </w:r>
      <w:r>
        <w:t xml:space="preserve"> (last row in table). However, it can be clearly seen from the figures in this table that these BOM monthly betas in comparison to SPY are far from the betas that are desirable for us (daily beta</w:t>
      </w:r>
      <w:r>
        <w:t xml:space="preserve">s in comparison to QQQ) in many cases (e.g. in case of FB, YF says: 0.556 vs. we say: 1.13, or JD, YF says: 0.614 vs. we say: 1.261). All in all, </w:t>
      </w:r>
      <w:r>
        <w:rPr>
          <w:b/>
        </w:rPr>
        <w:t xml:space="preserve">we do not recommend using YF betas in order to hedging </w:t>
      </w:r>
      <w:proofErr w:type="spellStart"/>
      <w:r>
        <w:rPr>
          <w:b/>
        </w:rPr>
        <w:t>GameChanger</w:t>
      </w:r>
      <w:proofErr w:type="spellEnd"/>
      <w:r>
        <w:rPr>
          <w:b/>
        </w:rPr>
        <w:t xml:space="preserve"> stocks.</w:t>
      </w:r>
    </w:p>
    <w:p w14:paraId="6586DD01" w14:textId="77777777" w:rsidR="00BE6986" w:rsidRDefault="00BE6986">
      <w:pPr>
        <w:jc w:val="both"/>
        <w:rPr>
          <w:b/>
        </w:rPr>
      </w:pPr>
    </w:p>
    <w:p w14:paraId="01D96993" w14:textId="77777777" w:rsidR="00BE6986" w:rsidRDefault="0047414E">
      <w:pPr>
        <w:jc w:val="both"/>
      </w:pPr>
      <w:r>
        <w:t xml:space="preserve">As YF betas are not useful for us </w:t>
      </w:r>
      <w:r>
        <w:t xml:space="preserve">and we did not find any appropriate online beta calculator for our </w:t>
      </w:r>
      <w:proofErr w:type="spellStart"/>
      <w:r>
        <w:t>GameChanger</w:t>
      </w:r>
      <w:proofErr w:type="spellEnd"/>
      <w:r>
        <w:t xml:space="preserve"> stocks, </w:t>
      </w:r>
      <w:r>
        <w:rPr>
          <w:b/>
        </w:rPr>
        <w:t xml:space="preserve">we have developed our own version which can be found </w:t>
      </w:r>
      <w:hyperlink r:id="rId76">
        <w:r>
          <w:rPr>
            <w:b/>
            <w:color w:val="1155CC"/>
            <w:u w:val="single"/>
          </w:rPr>
          <w:t>here</w:t>
        </w:r>
      </w:hyperlink>
      <w:r>
        <w:t xml:space="preserve">. </w:t>
      </w:r>
    </w:p>
    <w:p w14:paraId="0CB3E9B2" w14:textId="77777777" w:rsidR="00BE6986" w:rsidRDefault="00BE6986">
      <w:pPr>
        <w:jc w:val="center"/>
        <w:rPr>
          <w:sz w:val="18"/>
          <w:szCs w:val="18"/>
        </w:rPr>
      </w:pPr>
    </w:p>
    <w:p w14:paraId="6D191B78" w14:textId="77777777" w:rsidR="00BE6986" w:rsidRDefault="0047414E">
      <w:pPr>
        <w:jc w:val="center"/>
      </w:pPr>
      <w:r>
        <w:rPr>
          <w:sz w:val="18"/>
          <w:szCs w:val="18"/>
        </w:rPr>
        <w:t xml:space="preserve">Table 9: Betas of </w:t>
      </w:r>
      <w:proofErr w:type="spellStart"/>
      <w:r>
        <w:rPr>
          <w:sz w:val="18"/>
          <w:szCs w:val="18"/>
        </w:rPr>
        <w:t>GCh</w:t>
      </w:r>
      <w:proofErr w:type="spellEnd"/>
      <w:r>
        <w:rPr>
          <w:sz w:val="18"/>
          <w:szCs w:val="18"/>
        </w:rPr>
        <w:t xml:space="preserve"> Stocks in co</w:t>
      </w:r>
      <w:r>
        <w:rPr>
          <w:sz w:val="18"/>
          <w:szCs w:val="18"/>
        </w:rPr>
        <w:t>mparison to SPY on 2018-12-31 using 3-year lookback period</w:t>
      </w:r>
    </w:p>
    <w:p w14:paraId="773FB834" w14:textId="77777777" w:rsidR="00BE6986" w:rsidRDefault="0047414E">
      <w:pPr>
        <w:jc w:val="center"/>
        <w:rPr>
          <w:color w:val="4A86E8"/>
          <w:sz w:val="28"/>
          <w:szCs w:val="28"/>
        </w:rPr>
      </w:pPr>
      <w:r>
        <w:rPr>
          <w:noProof/>
        </w:rPr>
        <w:drawing>
          <wp:inline distT="114300" distB="114300" distL="114300" distR="114300" wp14:anchorId="55A22C98" wp14:editId="4995B782">
            <wp:extent cx="7052400" cy="2095500"/>
            <wp:effectExtent l="0" t="0" r="0" b="0"/>
            <wp:docPr id="46"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77"/>
                    <a:srcRect/>
                    <a:stretch>
                      <a:fillRect/>
                    </a:stretch>
                  </pic:blipFill>
                  <pic:spPr>
                    <a:xfrm>
                      <a:off x="0" y="0"/>
                      <a:ext cx="7052400" cy="2095500"/>
                    </a:xfrm>
                    <a:prstGeom prst="rect">
                      <a:avLst/>
                    </a:prstGeom>
                    <a:ln/>
                  </pic:spPr>
                </pic:pic>
              </a:graphicData>
            </a:graphic>
          </wp:inline>
        </w:drawing>
      </w:r>
      <w:r>
        <w:br w:type="page"/>
      </w:r>
    </w:p>
    <w:p w14:paraId="628A89EA" w14:textId="77777777" w:rsidR="00BE6986" w:rsidRDefault="0047414E">
      <w:pPr>
        <w:pStyle w:val="Heading1"/>
        <w:pBdr>
          <w:top w:val="nil"/>
          <w:left w:val="nil"/>
          <w:bottom w:val="nil"/>
          <w:right w:val="nil"/>
          <w:between w:val="nil"/>
        </w:pBdr>
        <w:rPr>
          <w:color w:val="38761D"/>
        </w:rPr>
      </w:pPr>
      <w:bookmarkStart w:id="15" w:name="_l07s06b5622k" w:colFirst="0" w:colLast="0"/>
      <w:bookmarkEnd w:id="15"/>
      <w:r>
        <w:rPr>
          <w:color w:val="38761D"/>
        </w:rPr>
        <w:lastRenderedPageBreak/>
        <w:t>Conclusions</w:t>
      </w:r>
    </w:p>
    <w:p w14:paraId="77D9CCEA" w14:textId="77777777" w:rsidR="00BE6986" w:rsidRDefault="00BE6986">
      <w:pPr>
        <w:pBdr>
          <w:top w:val="nil"/>
          <w:left w:val="nil"/>
          <w:bottom w:val="nil"/>
          <w:right w:val="nil"/>
          <w:between w:val="nil"/>
        </w:pBdr>
        <w:jc w:val="both"/>
        <w:rPr>
          <w:rFonts w:ascii="Trebuchet MS" w:eastAsia="Trebuchet MS" w:hAnsi="Trebuchet MS" w:cs="Trebuchet MS"/>
          <w:color w:val="38761D"/>
          <w:sz w:val="32"/>
          <w:szCs w:val="32"/>
        </w:rPr>
      </w:pPr>
    </w:p>
    <w:p w14:paraId="79973752" w14:textId="77777777" w:rsidR="00BE6986" w:rsidRDefault="0047414E">
      <w:pPr>
        <w:pBdr>
          <w:top w:val="nil"/>
          <w:left w:val="nil"/>
          <w:bottom w:val="nil"/>
          <w:right w:val="nil"/>
          <w:between w:val="nil"/>
        </w:pBdr>
        <w:jc w:val="both"/>
        <w:rPr>
          <w:b/>
        </w:rPr>
      </w:pPr>
      <w:r>
        <w:t xml:space="preserve">In this study we dealt with the beta of our </w:t>
      </w:r>
      <w:proofErr w:type="spellStart"/>
      <w:r>
        <w:t>GameChanger</w:t>
      </w:r>
      <w:proofErr w:type="spellEnd"/>
      <w:r>
        <w:t xml:space="preserve"> stocks. Previously we have developed a </w:t>
      </w:r>
      <w:r>
        <w:rPr>
          <w:b/>
        </w:rPr>
        <w:t xml:space="preserve">QQQ put option insurance strategy which could be appropriate for hedging our </w:t>
      </w:r>
      <w:proofErr w:type="spellStart"/>
      <w:r>
        <w:rPr>
          <w:b/>
        </w:rPr>
        <w:t>GameChanger</w:t>
      </w:r>
      <w:proofErr w:type="spellEnd"/>
      <w:r>
        <w:rPr>
          <w:b/>
        </w:rPr>
        <w:t xml:space="preserve"> portfolio</w:t>
      </w:r>
      <w:r>
        <w:t xml:space="preserve">. However, we have to know </w:t>
      </w:r>
      <w:r>
        <w:rPr>
          <w:b/>
        </w:rPr>
        <w:t xml:space="preserve">how many options we need to buy for </w:t>
      </w:r>
      <w:r>
        <w:rPr>
          <w:b/>
        </w:rPr>
        <w:t>almost perfect hedging</w:t>
      </w:r>
      <w:r>
        <w:t xml:space="preserve">. That’s why we need to determine an </w:t>
      </w:r>
      <w:r>
        <w:rPr>
          <w:b/>
        </w:rPr>
        <w:t>‘appropriate beta’.</w:t>
      </w:r>
    </w:p>
    <w:p w14:paraId="393250FB" w14:textId="77777777" w:rsidR="00BE6986" w:rsidRDefault="00BE6986">
      <w:pPr>
        <w:pBdr>
          <w:top w:val="nil"/>
          <w:left w:val="nil"/>
          <w:bottom w:val="nil"/>
          <w:right w:val="nil"/>
          <w:between w:val="nil"/>
        </w:pBdr>
        <w:jc w:val="both"/>
      </w:pPr>
    </w:p>
    <w:p w14:paraId="5A598154" w14:textId="77777777" w:rsidR="00BE6986" w:rsidRDefault="0047414E">
      <w:pPr>
        <w:pBdr>
          <w:top w:val="nil"/>
          <w:left w:val="nil"/>
          <w:bottom w:val="nil"/>
          <w:right w:val="nil"/>
          <w:between w:val="nil"/>
        </w:pBdr>
        <w:jc w:val="both"/>
      </w:pPr>
      <w:r>
        <w:t>At first, we introduced what the beta is:</w:t>
      </w:r>
      <w:r>
        <w:rPr>
          <w:b/>
        </w:rPr>
        <w:t xml:space="preserve"> how to calculate it, how many ‘parameters’ it has (Beta has 3 parameters, benchmark: SPY or QQQ; return interval, data sampling freque</w:t>
      </w:r>
      <w:r>
        <w:rPr>
          <w:b/>
        </w:rPr>
        <w:t>ncy: daily, weekly, monthly, annual; lookback period: 1-5 years), what is written in the literature etc</w:t>
      </w:r>
      <w:r>
        <w:t>.</w:t>
      </w:r>
    </w:p>
    <w:p w14:paraId="36C34CAE" w14:textId="77777777" w:rsidR="00BE6986" w:rsidRDefault="00BE6986">
      <w:pPr>
        <w:pBdr>
          <w:top w:val="nil"/>
          <w:left w:val="nil"/>
          <w:bottom w:val="nil"/>
          <w:right w:val="nil"/>
          <w:between w:val="nil"/>
        </w:pBdr>
        <w:jc w:val="both"/>
      </w:pPr>
    </w:p>
    <w:p w14:paraId="7D618EE4" w14:textId="77777777" w:rsidR="00BE6986" w:rsidRDefault="0047414E">
      <w:pPr>
        <w:pBdr>
          <w:top w:val="nil"/>
          <w:left w:val="nil"/>
          <w:bottom w:val="nil"/>
          <w:right w:val="nil"/>
          <w:between w:val="nil"/>
        </w:pBdr>
        <w:jc w:val="both"/>
      </w:pPr>
      <w:r>
        <w:t xml:space="preserve">In the first section of the next chapter we dealt with the </w:t>
      </w:r>
      <w:r>
        <w:rPr>
          <w:b/>
        </w:rPr>
        <w:t>optimal return interval and lookback period</w:t>
      </w:r>
      <w:r>
        <w:t xml:space="preserve">. It is not a simple task at all, because </w:t>
      </w:r>
      <w:r>
        <w:rPr>
          <w:b/>
        </w:rPr>
        <w:t>it depends on the purpose for which we want to use the beta</w:t>
      </w:r>
      <w:r>
        <w:t>. For short-term holdings, daily returns with shorter lookback period is obviously more appropriate than monthly returns with longer lookback. But the latt</w:t>
      </w:r>
      <w:r>
        <w:t>er could be more desirable for traders who want to hold a stock in the long run (for years).</w:t>
      </w:r>
    </w:p>
    <w:p w14:paraId="22B3BF4F" w14:textId="77777777" w:rsidR="00BE6986" w:rsidRDefault="00BE6986">
      <w:pPr>
        <w:pBdr>
          <w:top w:val="nil"/>
          <w:left w:val="nil"/>
          <w:bottom w:val="nil"/>
          <w:right w:val="nil"/>
          <w:between w:val="nil"/>
        </w:pBdr>
        <w:jc w:val="both"/>
      </w:pPr>
    </w:p>
    <w:p w14:paraId="64BF048D" w14:textId="77777777" w:rsidR="00BE6986" w:rsidRDefault="0047414E">
      <w:pPr>
        <w:pBdr>
          <w:top w:val="nil"/>
          <w:left w:val="nil"/>
          <w:bottom w:val="nil"/>
          <w:right w:val="nil"/>
          <w:between w:val="nil"/>
        </w:pBdr>
        <w:jc w:val="both"/>
      </w:pPr>
      <w:r>
        <w:t>Based on our examination in this section we found that:</w:t>
      </w:r>
    </w:p>
    <w:p w14:paraId="0F1E80AC" w14:textId="77777777" w:rsidR="00BE6986" w:rsidRDefault="0047414E">
      <w:pPr>
        <w:numPr>
          <w:ilvl w:val="0"/>
          <w:numId w:val="3"/>
        </w:numPr>
        <w:pBdr>
          <w:top w:val="nil"/>
          <w:left w:val="nil"/>
          <w:bottom w:val="nil"/>
          <w:right w:val="nil"/>
          <w:between w:val="nil"/>
        </w:pBdr>
        <w:spacing w:before="120" w:line="273" w:lineRule="auto"/>
        <w:jc w:val="both"/>
        <w:rPr>
          <w:b/>
        </w:rPr>
      </w:pPr>
      <w:r>
        <w:rPr>
          <w:b/>
        </w:rPr>
        <w:t xml:space="preserve">only QQQ put options should be used as a hedge for our </w:t>
      </w:r>
      <w:proofErr w:type="spellStart"/>
      <w:r>
        <w:rPr>
          <w:b/>
        </w:rPr>
        <w:t>GameChanger</w:t>
      </w:r>
      <w:proofErr w:type="spellEnd"/>
      <w:r>
        <w:rPr>
          <w:b/>
        </w:rPr>
        <w:t xml:space="preserve"> portfolio, SPY is not good enough;</w:t>
      </w:r>
    </w:p>
    <w:p w14:paraId="203B0C18" w14:textId="77777777" w:rsidR="00BE6986" w:rsidRDefault="0047414E">
      <w:pPr>
        <w:numPr>
          <w:ilvl w:val="0"/>
          <w:numId w:val="3"/>
        </w:numPr>
        <w:spacing w:before="120" w:line="273" w:lineRule="auto"/>
        <w:jc w:val="both"/>
        <w:rPr>
          <w:b/>
        </w:rPr>
      </w:pPr>
      <w:r>
        <w:rPr>
          <w:b/>
        </w:rPr>
        <w:t xml:space="preserve">the </w:t>
      </w:r>
      <w:r>
        <w:rPr>
          <w:b/>
        </w:rPr>
        <w:t>more data we use (e.g. daily returns instead of monthly returns), the more reliable the beta will be;</w:t>
      </w:r>
    </w:p>
    <w:p w14:paraId="144BC4BF" w14:textId="77777777" w:rsidR="00BE6986" w:rsidRDefault="0047414E">
      <w:pPr>
        <w:numPr>
          <w:ilvl w:val="0"/>
          <w:numId w:val="3"/>
        </w:numPr>
        <w:spacing w:before="120" w:line="273" w:lineRule="auto"/>
        <w:jc w:val="both"/>
        <w:rPr>
          <w:b/>
        </w:rPr>
      </w:pPr>
      <w:r>
        <w:rPr>
          <w:b/>
        </w:rPr>
        <w:t>daily beta using 1-year lookback period with some ‘monthly-</w:t>
      </w:r>
      <w:proofErr w:type="spellStart"/>
      <w:r>
        <w:rPr>
          <w:b/>
        </w:rPr>
        <w:t>izer</w:t>
      </w:r>
      <w:proofErr w:type="spellEnd"/>
      <w:r>
        <w:rPr>
          <w:b/>
        </w:rPr>
        <w:t>’ multiplicator would be the most appropriate choice for our real life QQQ put option insur</w:t>
      </w:r>
      <w:r>
        <w:rPr>
          <w:b/>
        </w:rPr>
        <w:t>ance strategy;</w:t>
      </w:r>
    </w:p>
    <w:p w14:paraId="39C78690" w14:textId="77777777" w:rsidR="00BE6986" w:rsidRDefault="0047414E">
      <w:pPr>
        <w:numPr>
          <w:ilvl w:val="0"/>
          <w:numId w:val="3"/>
        </w:numPr>
        <w:spacing w:before="120" w:line="273" w:lineRule="auto"/>
        <w:jc w:val="both"/>
        <w:rPr>
          <w:b/>
        </w:rPr>
      </w:pPr>
      <w:r>
        <w:rPr>
          <w:b/>
        </w:rPr>
        <w:t xml:space="preserve">there </w:t>
      </w:r>
      <w:proofErr w:type="gramStart"/>
      <w:r>
        <w:rPr>
          <w:b/>
        </w:rPr>
        <w:t>is</w:t>
      </w:r>
      <w:proofErr w:type="gramEnd"/>
      <w:r>
        <w:rPr>
          <w:b/>
        </w:rPr>
        <w:t xml:space="preserve"> no significant differences between betas in extreme bearish or bullish periods.</w:t>
      </w:r>
    </w:p>
    <w:p w14:paraId="36821E7A" w14:textId="77777777" w:rsidR="00BE6986" w:rsidRDefault="00BE6986">
      <w:pPr>
        <w:spacing w:before="120" w:line="273" w:lineRule="auto"/>
        <w:jc w:val="both"/>
        <w:rPr>
          <w:b/>
        </w:rPr>
      </w:pPr>
    </w:p>
    <w:p w14:paraId="38D7F1D5" w14:textId="77777777" w:rsidR="00BE6986" w:rsidRDefault="0047414E">
      <w:pPr>
        <w:spacing w:before="120" w:line="273" w:lineRule="auto"/>
        <w:jc w:val="both"/>
        <w:rPr>
          <w:b/>
        </w:rPr>
      </w:pPr>
      <w:r>
        <w:t>After that we tried to optimize the ‘monthly-</w:t>
      </w:r>
      <w:proofErr w:type="spellStart"/>
      <w:r>
        <w:t>izer</w:t>
      </w:r>
      <w:proofErr w:type="spellEnd"/>
      <w:r>
        <w:t>’ multiplicator which makes daily betas suitable for monthly use. Using Monte-Carlo simulations we hav</w:t>
      </w:r>
      <w:r>
        <w:t>e found that</w:t>
      </w:r>
      <w:r>
        <w:rPr>
          <w:b/>
        </w:rPr>
        <w:t xml:space="preserve"> the optimal value of this ‘monthly-</w:t>
      </w:r>
      <w:proofErr w:type="spellStart"/>
      <w:r>
        <w:rPr>
          <w:b/>
        </w:rPr>
        <w:t>izer</w:t>
      </w:r>
      <w:proofErr w:type="spellEnd"/>
      <w:r>
        <w:rPr>
          <w:b/>
        </w:rPr>
        <w:t>’ daily beta-multiplicator should be around 85% for risk lover and around 110-125% for risk averse investors.</w:t>
      </w:r>
    </w:p>
    <w:p w14:paraId="4F65451B" w14:textId="77777777" w:rsidR="00BE6986" w:rsidRDefault="00BE6986">
      <w:pPr>
        <w:spacing w:before="120" w:line="273" w:lineRule="auto"/>
        <w:jc w:val="both"/>
      </w:pPr>
    </w:p>
    <w:p w14:paraId="7B18F6A5" w14:textId="77777777" w:rsidR="00BE6986" w:rsidRDefault="0047414E">
      <w:pPr>
        <w:spacing w:before="120" w:line="273" w:lineRule="auto"/>
        <w:jc w:val="both"/>
        <w:rPr>
          <w:b/>
        </w:rPr>
      </w:pPr>
      <w:r>
        <w:t>In the last section we concluded that</w:t>
      </w:r>
      <w:r>
        <w:rPr>
          <w:b/>
        </w:rPr>
        <w:t xml:space="preserve"> using QQQ (and thus these betas) for hedging one or two individual stocks is not recommended. In this case, stock specific put options are much more appropriate.</w:t>
      </w:r>
    </w:p>
    <w:p w14:paraId="07BB0FFB" w14:textId="77777777" w:rsidR="00BE6986" w:rsidRDefault="00BE6986">
      <w:pPr>
        <w:spacing w:before="120" w:line="273" w:lineRule="auto"/>
        <w:jc w:val="both"/>
        <w:rPr>
          <w:b/>
        </w:rPr>
      </w:pPr>
    </w:p>
    <w:p w14:paraId="2E60C35C" w14:textId="77777777" w:rsidR="00BE6986" w:rsidRDefault="0047414E">
      <w:pPr>
        <w:jc w:val="both"/>
        <w:rPr>
          <w:b/>
        </w:rPr>
      </w:pPr>
      <w:r>
        <w:t>Finally, as YF betas are not useful for us and we did not find any appropriate online beta c</w:t>
      </w:r>
      <w:r>
        <w:t xml:space="preserve">alculator for our </w:t>
      </w:r>
      <w:proofErr w:type="spellStart"/>
      <w:r>
        <w:t>GameChanger</w:t>
      </w:r>
      <w:proofErr w:type="spellEnd"/>
      <w:r>
        <w:t xml:space="preserve"> stocks, </w:t>
      </w:r>
      <w:r>
        <w:rPr>
          <w:b/>
        </w:rPr>
        <w:t xml:space="preserve">we have developed our own version which can be found </w:t>
      </w:r>
      <w:hyperlink r:id="rId78">
        <w:r>
          <w:rPr>
            <w:b/>
            <w:color w:val="1155CC"/>
            <w:u w:val="single"/>
          </w:rPr>
          <w:t>here</w:t>
        </w:r>
      </w:hyperlink>
      <w:r>
        <w:t>.</w:t>
      </w:r>
    </w:p>
    <w:p w14:paraId="51337C95" w14:textId="77777777" w:rsidR="00BE6986" w:rsidRDefault="00BE6986">
      <w:pPr>
        <w:spacing w:before="120" w:line="273" w:lineRule="auto"/>
        <w:jc w:val="both"/>
      </w:pPr>
    </w:p>
    <w:sectPr w:rsidR="00BE6986">
      <w:headerReference w:type="even" r:id="rId79"/>
      <w:headerReference w:type="default" r:id="rId80"/>
      <w:footerReference w:type="even" r:id="rId81"/>
      <w:footerReference w:type="default" r:id="rId82"/>
      <w:headerReference w:type="first" r:id="rId83"/>
      <w:footerReference w:type="first" r:id="rId84"/>
      <w:pgSz w:w="12240" w:h="15840"/>
      <w:pgMar w:top="566" w:right="566" w:bottom="566" w:left="566"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1C238A" w14:textId="77777777" w:rsidR="0047414E" w:rsidRDefault="0047414E">
      <w:pPr>
        <w:spacing w:line="240" w:lineRule="auto"/>
      </w:pPr>
      <w:r>
        <w:separator/>
      </w:r>
    </w:p>
  </w:endnote>
  <w:endnote w:type="continuationSeparator" w:id="0">
    <w:p w14:paraId="150CBAED" w14:textId="77777777" w:rsidR="0047414E" w:rsidRDefault="004741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Unicode MS">
    <w:altName w:val="Arial"/>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856CA0" w14:textId="77777777" w:rsidR="00BF4644" w:rsidRDefault="00BF46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E7F463" w14:textId="77777777" w:rsidR="00BE6986" w:rsidRDefault="0047414E">
    <w:pPr>
      <w:pBdr>
        <w:top w:val="nil"/>
        <w:left w:val="nil"/>
        <w:bottom w:val="nil"/>
        <w:right w:val="nil"/>
        <w:between w:val="nil"/>
      </w:pBdr>
      <w:jc w:val="right"/>
    </w:pPr>
    <w:r>
      <w:fldChar w:fldCharType="begin"/>
    </w:r>
    <w:r>
      <w:instrText>PAGE</w:instrText>
    </w:r>
    <w:r w:rsidR="00BF4644">
      <w:fldChar w:fldCharType="separate"/>
    </w:r>
    <w:r w:rsidR="00BF4644">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FB2BE7" w14:textId="77777777" w:rsidR="00BF4644" w:rsidRDefault="00BF46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46305F" w14:textId="77777777" w:rsidR="0047414E" w:rsidRDefault="0047414E">
      <w:pPr>
        <w:spacing w:line="240" w:lineRule="auto"/>
      </w:pPr>
      <w:r>
        <w:separator/>
      </w:r>
    </w:p>
  </w:footnote>
  <w:footnote w:type="continuationSeparator" w:id="0">
    <w:p w14:paraId="276E79AC" w14:textId="77777777" w:rsidR="0047414E" w:rsidRDefault="0047414E">
      <w:pPr>
        <w:spacing w:line="240" w:lineRule="auto"/>
      </w:pPr>
      <w:r>
        <w:continuationSeparator/>
      </w:r>
    </w:p>
  </w:footnote>
  <w:footnote w:id="1">
    <w:p w14:paraId="45404374" w14:textId="77777777" w:rsidR="00BE6986" w:rsidRDefault="0047414E">
      <w:pPr>
        <w:spacing w:line="240" w:lineRule="auto"/>
        <w:rPr>
          <w:sz w:val="20"/>
          <w:szCs w:val="20"/>
        </w:rPr>
      </w:pPr>
      <w:r>
        <w:rPr>
          <w:vertAlign w:val="superscript"/>
        </w:rPr>
        <w:footnoteRef/>
      </w:r>
      <w:r>
        <w:rPr>
          <w:sz w:val="20"/>
          <w:szCs w:val="20"/>
        </w:rPr>
        <w:t xml:space="preserve"> As on 2019-03-31: AAPL, AMZN, BABA, BIDU, CRM, FB, GOOGL, JD, MSFT, NFLX, NVDA, SQ and TCEHY.</w:t>
      </w:r>
    </w:p>
  </w:footnote>
  <w:footnote w:id="2">
    <w:p w14:paraId="4D68826C" w14:textId="77777777" w:rsidR="00BE6986" w:rsidRDefault="0047414E">
      <w:pPr>
        <w:spacing w:line="240" w:lineRule="auto"/>
        <w:rPr>
          <w:sz w:val="20"/>
          <w:szCs w:val="20"/>
        </w:rPr>
      </w:pPr>
      <w:r>
        <w:rPr>
          <w:vertAlign w:val="superscript"/>
        </w:rPr>
        <w:footnoteRef/>
      </w:r>
      <w:r>
        <w:rPr>
          <w:sz w:val="20"/>
          <w:szCs w:val="20"/>
        </w:rPr>
        <w:t xml:space="preserve"> https://www.investopedia.com/terms/b/beta.asp</w:t>
      </w:r>
    </w:p>
  </w:footnote>
  <w:footnote w:id="3">
    <w:p w14:paraId="3D603570" w14:textId="77777777" w:rsidR="00BE6986" w:rsidRDefault="0047414E">
      <w:pPr>
        <w:spacing w:line="240" w:lineRule="auto"/>
        <w:rPr>
          <w:sz w:val="20"/>
          <w:szCs w:val="20"/>
        </w:rPr>
      </w:pPr>
      <w:r>
        <w:rPr>
          <w:vertAlign w:val="superscript"/>
        </w:rPr>
        <w:footnoteRef/>
      </w:r>
      <w:r>
        <w:rPr>
          <w:sz w:val="20"/>
          <w:szCs w:val="20"/>
        </w:rPr>
        <w:t xml:space="preserve"> </w:t>
      </w:r>
      <w:hyperlink r:id="rId1">
        <w:r>
          <w:rPr>
            <w:color w:val="1155CC"/>
            <w:sz w:val="20"/>
            <w:szCs w:val="20"/>
            <w:u w:val="single"/>
          </w:rPr>
          <w:t>https://www.investopedia.com/ask/answers/012915/whats-relationship-betw</w:t>
        </w:r>
        <w:r>
          <w:rPr>
            <w:color w:val="1155CC"/>
            <w:sz w:val="20"/>
            <w:szCs w:val="20"/>
            <w:u w:val="single"/>
          </w:rPr>
          <w:t>een-r-squared-and-beta.asp</w:t>
        </w:r>
      </w:hyperlink>
    </w:p>
  </w:footnote>
  <w:footnote w:id="4">
    <w:p w14:paraId="2EEED91D" w14:textId="77777777" w:rsidR="00BE6986" w:rsidRDefault="0047414E">
      <w:pPr>
        <w:spacing w:line="240" w:lineRule="auto"/>
        <w:rPr>
          <w:sz w:val="20"/>
          <w:szCs w:val="20"/>
        </w:rPr>
      </w:pPr>
      <w:r>
        <w:rPr>
          <w:vertAlign w:val="superscript"/>
        </w:rPr>
        <w:footnoteRef/>
      </w:r>
      <w:r>
        <w:rPr>
          <w:sz w:val="20"/>
          <w:szCs w:val="20"/>
        </w:rPr>
        <w:t xml:space="preserve"> </w:t>
      </w:r>
      <w:hyperlink r:id="rId2" w:anchor="Statistical_estimation">
        <w:r>
          <w:rPr>
            <w:color w:val="1155CC"/>
            <w:sz w:val="20"/>
            <w:szCs w:val="20"/>
            <w:u w:val="single"/>
          </w:rPr>
          <w:t>https://en.wikipedia.org/wiki/Beta_(finance)#Statistical_estimation</w:t>
        </w:r>
      </w:hyperlink>
    </w:p>
  </w:footnote>
  <w:footnote w:id="5">
    <w:p w14:paraId="1C0BF5B2" w14:textId="77777777" w:rsidR="00BE6986" w:rsidRDefault="0047414E">
      <w:pPr>
        <w:spacing w:line="240" w:lineRule="auto"/>
        <w:rPr>
          <w:sz w:val="20"/>
          <w:szCs w:val="20"/>
        </w:rPr>
      </w:pPr>
      <w:r>
        <w:rPr>
          <w:vertAlign w:val="superscript"/>
        </w:rPr>
        <w:footnoteRef/>
      </w:r>
      <w:r>
        <w:rPr>
          <w:sz w:val="20"/>
          <w:szCs w:val="20"/>
        </w:rPr>
        <w:t xml:space="preserve"> </w:t>
      </w:r>
      <w:hyperlink r:id="rId3">
        <w:r>
          <w:rPr>
            <w:color w:val="1155CC"/>
            <w:sz w:val="20"/>
            <w:szCs w:val="20"/>
            <w:u w:val="single"/>
          </w:rPr>
          <w:t>https://www.investopedia.com/investing/beta-know-risk/</w:t>
        </w:r>
      </w:hyperlink>
    </w:p>
  </w:footnote>
  <w:footnote w:id="6">
    <w:p w14:paraId="11DD5E12" w14:textId="77777777" w:rsidR="00BE6986" w:rsidRDefault="0047414E">
      <w:pPr>
        <w:spacing w:line="240" w:lineRule="auto"/>
        <w:rPr>
          <w:sz w:val="20"/>
          <w:szCs w:val="20"/>
        </w:rPr>
      </w:pPr>
      <w:r>
        <w:rPr>
          <w:vertAlign w:val="superscript"/>
        </w:rPr>
        <w:footnoteRef/>
      </w:r>
      <w:r>
        <w:rPr>
          <w:sz w:val="20"/>
          <w:szCs w:val="20"/>
        </w:rPr>
        <w:t xml:space="preserve"> </w:t>
      </w:r>
      <w:hyperlink r:id="rId4">
        <w:r>
          <w:rPr>
            <w:color w:val="1155CC"/>
            <w:sz w:val="20"/>
            <w:szCs w:val="20"/>
            <w:u w:val="single"/>
          </w:rPr>
          <w:t>http://www.studyfinance.com/jfsd/pdffiles/v13n1/daves.pdf</w:t>
        </w:r>
      </w:hyperlink>
    </w:p>
  </w:footnote>
  <w:footnote w:id="7">
    <w:p w14:paraId="746E990D" w14:textId="77777777" w:rsidR="00BE6986" w:rsidRDefault="0047414E">
      <w:pPr>
        <w:spacing w:line="240" w:lineRule="auto"/>
        <w:rPr>
          <w:sz w:val="20"/>
          <w:szCs w:val="20"/>
        </w:rPr>
      </w:pPr>
      <w:r>
        <w:rPr>
          <w:vertAlign w:val="superscript"/>
        </w:rPr>
        <w:footnoteRef/>
      </w:r>
      <w:r>
        <w:rPr>
          <w:sz w:val="20"/>
          <w:szCs w:val="20"/>
        </w:rPr>
        <w:t xml:space="preserve"> </w:t>
      </w:r>
      <w:hyperlink r:id="rId5">
        <w:r>
          <w:rPr>
            <w:color w:val="1155CC"/>
            <w:sz w:val="20"/>
            <w:szCs w:val="20"/>
            <w:u w:val="single"/>
          </w:rPr>
          <w:t>https://pdfs.semanticscholar.org/a83b/d033252f311d3a40c3c20fb52b03d6a6f5df.pdf</w:t>
        </w:r>
      </w:hyperlink>
    </w:p>
  </w:footnote>
  <w:footnote w:id="8">
    <w:p w14:paraId="51F2709F" w14:textId="77777777" w:rsidR="00BE6986" w:rsidRDefault="0047414E">
      <w:pPr>
        <w:spacing w:line="240" w:lineRule="auto"/>
        <w:rPr>
          <w:sz w:val="20"/>
          <w:szCs w:val="20"/>
        </w:rPr>
      </w:pPr>
      <w:r>
        <w:rPr>
          <w:vertAlign w:val="superscript"/>
        </w:rPr>
        <w:footnoteRef/>
      </w:r>
      <w:r>
        <w:rPr>
          <w:sz w:val="20"/>
          <w:szCs w:val="20"/>
        </w:rPr>
        <w:t xml:space="preserve"> </w:t>
      </w:r>
      <w:hyperlink r:id="rId6">
        <w:r>
          <w:rPr>
            <w:color w:val="1155CC"/>
            <w:sz w:val="20"/>
            <w:szCs w:val="20"/>
            <w:u w:val="single"/>
          </w:rPr>
          <w:t>https://pdfs.semanticscholar.org/e6ed/174cb2e0dfe24dc450acf10570da1138626b.pdf</w:t>
        </w:r>
      </w:hyperlink>
    </w:p>
  </w:footnote>
  <w:footnote w:id="9">
    <w:p w14:paraId="5CD768FD" w14:textId="77777777" w:rsidR="00BE6986" w:rsidRDefault="0047414E">
      <w:pPr>
        <w:spacing w:line="240" w:lineRule="auto"/>
        <w:rPr>
          <w:sz w:val="20"/>
          <w:szCs w:val="20"/>
        </w:rPr>
      </w:pPr>
      <w:r>
        <w:rPr>
          <w:vertAlign w:val="superscript"/>
        </w:rPr>
        <w:footnoteRef/>
      </w:r>
      <w:r>
        <w:rPr>
          <w:sz w:val="20"/>
          <w:szCs w:val="20"/>
        </w:rPr>
        <w:t xml:space="preserve"> </w:t>
      </w:r>
      <w:hyperlink r:id="rId7" w:anchor="page_scan_tab_contents">
        <w:r>
          <w:rPr>
            <w:color w:val="1155CC"/>
            <w:sz w:val="20"/>
            <w:szCs w:val="20"/>
            <w:u w:val="single"/>
          </w:rPr>
          <w:t>https://www.jstor.org/stable/4478650?seq=1#page_scan_tab_contents</w:t>
        </w:r>
      </w:hyperlink>
    </w:p>
  </w:footnote>
  <w:footnote w:id="10">
    <w:p w14:paraId="4EE39AF6" w14:textId="77777777" w:rsidR="00BE6986" w:rsidRDefault="0047414E">
      <w:pPr>
        <w:spacing w:line="240" w:lineRule="auto"/>
        <w:rPr>
          <w:sz w:val="20"/>
          <w:szCs w:val="20"/>
        </w:rPr>
      </w:pPr>
      <w:r>
        <w:rPr>
          <w:vertAlign w:val="superscript"/>
        </w:rPr>
        <w:footnoteRef/>
      </w:r>
      <w:r>
        <w:rPr>
          <w:sz w:val="20"/>
          <w:szCs w:val="20"/>
        </w:rPr>
        <w:t xml:space="preserve"> Some ideas came from: </w:t>
      </w:r>
      <w:hyperlink r:id="rId8">
        <w:r>
          <w:rPr>
            <w:color w:val="1155CC"/>
            <w:sz w:val="20"/>
            <w:szCs w:val="20"/>
            <w:u w:val="single"/>
          </w:rPr>
          <w:t>http://p-s.com/news/impact-of-estimation-period-and-return-interval-on-estimated-beta/</w:t>
        </w:r>
      </w:hyperlink>
    </w:p>
  </w:footnote>
  <w:footnote w:id="11">
    <w:p w14:paraId="0CBC9C2C" w14:textId="77777777" w:rsidR="00BE6986" w:rsidRDefault="0047414E">
      <w:pPr>
        <w:spacing w:line="240" w:lineRule="auto"/>
        <w:rPr>
          <w:sz w:val="20"/>
          <w:szCs w:val="20"/>
        </w:rPr>
      </w:pPr>
      <w:r>
        <w:rPr>
          <w:vertAlign w:val="superscript"/>
        </w:rPr>
        <w:footnoteRef/>
      </w:r>
      <w:r>
        <w:rPr>
          <w:sz w:val="20"/>
          <w:szCs w:val="20"/>
        </w:rPr>
        <w:t xml:space="preserve"> </w:t>
      </w:r>
      <w:hyperlink r:id="rId9">
        <w:r>
          <w:rPr>
            <w:color w:val="1155CC"/>
            <w:sz w:val="20"/>
            <w:szCs w:val="20"/>
            <w:u w:val="single"/>
          </w:rPr>
          <w:t>http://investexcel.net/how-does-yahoo-finance-calcul</w:t>
        </w:r>
        <w:r>
          <w:rPr>
            <w:color w:val="1155CC"/>
            <w:sz w:val="20"/>
            <w:szCs w:val="20"/>
            <w:u w:val="single"/>
          </w:rPr>
          <w:t>ate-beta/</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4EF826" w14:textId="77777777" w:rsidR="00BF4644" w:rsidRDefault="00BF46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66E0D2" w14:textId="1EF9EAD0" w:rsidR="00BE6986" w:rsidRDefault="0047414E">
    <w:pPr>
      <w:pBdr>
        <w:top w:val="nil"/>
        <w:left w:val="nil"/>
        <w:bottom w:val="nil"/>
        <w:right w:val="nil"/>
        <w:between w:val="nil"/>
      </w:pBdr>
    </w:pPr>
    <w:r>
      <w:t xml:space="preserve">Beta of </w:t>
    </w:r>
    <w:proofErr w:type="spellStart"/>
    <w:r>
      <w:t>GameChanger</w:t>
    </w:r>
    <w:proofErr w:type="spellEnd"/>
    <w:r>
      <w:t xml:space="preserve"> Stocks</w:t>
    </w:r>
    <w:r>
      <w:tab/>
      <w:t xml:space="preserve">   </w:t>
    </w:r>
    <w:r>
      <w:tab/>
      <w:t xml:space="preserve"> by </w:t>
    </w:r>
    <w:proofErr w:type="spellStart"/>
    <w:r w:rsidR="00BF4644">
      <w:t>Dr.</w:t>
    </w:r>
    <w:proofErr w:type="spellEnd"/>
    <w:r w:rsidR="00BF4644">
      <w:t xml:space="preserve"> George </w:t>
    </w:r>
    <w:proofErr w:type="spellStart"/>
    <w:r w:rsidR="00BF4644">
      <w:t>Antal</w:t>
    </w:r>
    <w:proofErr w:type="spellEnd"/>
    <w:r>
      <w:t>, 3DClick Ltd.</w:t>
    </w:r>
    <w:r>
      <w:tab/>
    </w:r>
    <w:r>
      <w:tab/>
    </w:r>
    <w:r>
      <w:tab/>
      <w:t xml:space="preserve">  </w:t>
    </w:r>
    <w:r>
      <w:t xml:space="preserve">  2019-0</w:t>
    </w:r>
    <w:r w:rsidR="00BF4644">
      <w:t>5</w:t>
    </w:r>
    <w:r>
      <w:t>-0</w:t>
    </w:r>
    <w:r w:rsidR="00BF4644">
      <w:t>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8FA3E8" w14:textId="77777777" w:rsidR="00BF4644" w:rsidRDefault="00BF46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4C270A"/>
    <w:multiLevelType w:val="multilevel"/>
    <w:tmpl w:val="E2CEAA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0695687"/>
    <w:multiLevelType w:val="multilevel"/>
    <w:tmpl w:val="80BC2C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8431525"/>
    <w:multiLevelType w:val="multilevel"/>
    <w:tmpl w:val="CC08FE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ED46589"/>
    <w:multiLevelType w:val="multilevel"/>
    <w:tmpl w:val="0BDEA4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E5939B3"/>
    <w:multiLevelType w:val="multilevel"/>
    <w:tmpl w:val="880801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6986"/>
    <w:rsid w:val="0047414E"/>
    <w:rsid w:val="00BE6986"/>
    <w:rsid w:val="00BF46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DE6E5B"/>
  <w15:docId w15:val="{7EA5D34F-9B73-44FC-ACA2-406790FE2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outlineLvl w:val="0"/>
    </w:pPr>
    <w:rPr>
      <w:rFonts w:ascii="Trebuchet MS" w:eastAsia="Trebuchet MS" w:hAnsi="Trebuchet MS" w:cs="Trebuchet MS"/>
      <w:sz w:val="32"/>
      <w:szCs w:val="32"/>
    </w:rPr>
  </w:style>
  <w:style w:type="paragraph" w:styleId="Heading2">
    <w:name w:val="heading 2"/>
    <w:basedOn w:val="Normal"/>
    <w:next w:val="Normal"/>
    <w:uiPriority w:val="9"/>
    <w:unhideWhenUsed/>
    <w:qFormat/>
    <w:pPr>
      <w:keepNext/>
      <w:keepLines/>
      <w:spacing w:before="200"/>
      <w:outlineLvl w:val="1"/>
    </w:pPr>
    <w:rPr>
      <w:rFonts w:ascii="Trebuchet MS" w:eastAsia="Trebuchet MS" w:hAnsi="Trebuchet MS" w:cs="Trebuchet MS"/>
      <w:b/>
      <w:sz w:val="26"/>
      <w:szCs w:val="26"/>
    </w:rPr>
  </w:style>
  <w:style w:type="paragraph" w:styleId="Heading3">
    <w:name w:val="heading 3"/>
    <w:basedOn w:val="Normal"/>
    <w:next w:val="Normal"/>
    <w:uiPriority w:val="9"/>
    <w:semiHidden/>
    <w:unhideWhenUsed/>
    <w:qFormat/>
    <w:pPr>
      <w:keepNext/>
      <w:keepLines/>
      <w:spacing w:before="160"/>
      <w:outlineLvl w:val="2"/>
    </w:pPr>
    <w:rPr>
      <w:rFonts w:ascii="Trebuchet MS" w:eastAsia="Trebuchet MS" w:hAnsi="Trebuchet MS" w:cs="Trebuchet MS"/>
      <w:b/>
      <w:color w:val="666666"/>
      <w:sz w:val="24"/>
      <w:szCs w:val="24"/>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rFonts w:ascii="Trebuchet MS" w:eastAsia="Trebuchet MS" w:hAnsi="Trebuchet MS" w:cs="Trebuchet MS"/>
      <w:sz w:val="42"/>
      <w:szCs w:val="42"/>
    </w:rPr>
  </w:style>
  <w:style w:type="paragraph" w:styleId="Subtitle">
    <w:name w:val="Subtitle"/>
    <w:basedOn w:val="Normal"/>
    <w:next w:val="Normal"/>
    <w:uiPriority w:val="11"/>
    <w:qFormat/>
    <w:pPr>
      <w:keepNext/>
      <w:keepLines/>
      <w:spacing w:after="200"/>
    </w:pPr>
    <w:rPr>
      <w:rFonts w:ascii="Trebuchet MS" w:eastAsia="Trebuchet MS" w:hAnsi="Trebuchet MS" w:cs="Trebuchet MS"/>
      <w:i/>
      <w:color w:val="666666"/>
      <w:sz w:val="26"/>
      <w:szCs w:val="26"/>
    </w:rPr>
  </w:style>
  <w:style w:type="paragraph" w:styleId="Header">
    <w:name w:val="header"/>
    <w:basedOn w:val="Normal"/>
    <w:link w:val="HeaderChar"/>
    <w:uiPriority w:val="99"/>
    <w:unhideWhenUsed/>
    <w:rsid w:val="00BF4644"/>
    <w:pPr>
      <w:tabs>
        <w:tab w:val="center" w:pos="4513"/>
        <w:tab w:val="right" w:pos="9026"/>
      </w:tabs>
      <w:spacing w:line="240" w:lineRule="auto"/>
    </w:pPr>
  </w:style>
  <w:style w:type="character" w:customStyle="1" w:styleId="HeaderChar">
    <w:name w:val="Header Char"/>
    <w:basedOn w:val="DefaultParagraphFont"/>
    <w:link w:val="Header"/>
    <w:uiPriority w:val="99"/>
    <w:rsid w:val="00BF4644"/>
  </w:style>
  <w:style w:type="paragraph" w:styleId="Footer">
    <w:name w:val="footer"/>
    <w:basedOn w:val="Normal"/>
    <w:link w:val="FooterChar"/>
    <w:uiPriority w:val="99"/>
    <w:unhideWhenUsed/>
    <w:rsid w:val="00BF4644"/>
    <w:pPr>
      <w:tabs>
        <w:tab w:val="center" w:pos="4513"/>
        <w:tab w:val="right" w:pos="9026"/>
      </w:tabs>
      <w:spacing w:line="240" w:lineRule="auto"/>
    </w:pPr>
  </w:style>
  <w:style w:type="character" w:customStyle="1" w:styleId="FooterChar">
    <w:name w:val="Footer Char"/>
    <w:basedOn w:val="DefaultParagraphFont"/>
    <w:link w:val="Footer"/>
    <w:uiPriority w:val="99"/>
    <w:rsid w:val="00BF46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https://www.investopedia.com/terms/a/alpha.asp" TargetMode="External"/><Relationship Id="rId18" Type="http://schemas.openxmlformats.org/officeDocument/2006/relationships/hyperlink" Target="https://en.wikipedia.org/wiki/Alpha_(finance)" TargetMode="External"/><Relationship Id="rId26" Type="http://schemas.openxmlformats.org/officeDocument/2006/relationships/image" Target="media/image10.png"/><Relationship Id="rId39" Type="http://schemas.openxmlformats.org/officeDocument/2006/relationships/image" Target="media/image22.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7.png"/><Relationship Id="rId63" Type="http://schemas.openxmlformats.org/officeDocument/2006/relationships/image" Target="media/image45.jpg"/><Relationship Id="rId68" Type="http://schemas.openxmlformats.org/officeDocument/2006/relationships/image" Target="media/image50.jpg"/><Relationship Id="rId76" Type="http://schemas.openxmlformats.org/officeDocument/2006/relationships/hyperlink" Target="https://www.snifferquant.net/GameChangerBetaCalculator" TargetMode="External"/><Relationship Id="rId84" Type="http://schemas.openxmlformats.org/officeDocument/2006/relationships/footer" Target="footer3.xml"/><Relationship Id="rId7" Type="http://schemas.openxmlformats.org/officeDocument/2006/relationships/hyperlink" Target="https://docs.google.com/document/d/1vEedC2qeI3zhBr5sfi2c1i-GhzwgxJoUH5rW_zuAIKw/edit?usp=sharing" TargetMode="External"/><Relationship Id="rId71" Type="http://schemas.openxmlformats.org/officeDocument/2006/relationships/image" Target="media/image53.png"/><Relationship Id="rId2" Type="http://schemas.openxmlformats.org/officeDocument/2006/relationships/styles" Target="styles.xml"/><Relationship Id="rId16" Type="http://schemas.openxmlformats.org/officeDocument/2006/relationships/hyperlink" Target="http://tylervigen.com/spurious-correlations" TargetMode="External"/><Relationship Id="rId29" Type="http://schemas.openxmlformats.org/officeDocument/2006/relationships/image" Target="media/image13.png"/><Relationship Id="rId11" Type="http://schemas.openxmlformats.org/officeDocument/2006/relationships/hyperlink" Target="https://www.investopedia.com/terms/r/r-squared.asp"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hyperlink" Target="https://en.wikipedia.org/wiki/Coefficient_of_determination" TargetMode="External"/><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8.jpg"/><Relationship Id="rId74" Type="http://schemas.openxmlformats.org/officeDocument/2006/relationships/image" Target="media/image56.png"/><Relationship Id="rId79"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image" Target="media/image43.jpg"/><Relationship Id="rId82" Type="http://schemas.openxmlformats.org/officeDocument/2006/relationships/footer" Target="footer2.xml"/><Relationship Id="rId19" Type="http://schemas.openxmlformats.org/officeDocument/2006/relationships/hyperlink" Target="https://en.wikipedia.org/wiki/Time_series" TargetMode="External"/><Relationship Id="rId4" Type="http://schemas.openxmlformats.org/officeDocument/2006/relationships/webSettings" Target="webSettings.xml"/><Relationship Id="rId9" Type="http://schemas.openxmlformats.org/officeDocument/2006/relationships/hyperlink" Target="https://www.investopedia.com/terms/b/benchmark.asp" TargetMode="External"/><Relationship Id="rId14" Type="http://schemas.openxmlformats.org/officeDocument/2006/relationships/hyperlink" Target="https://www.investopedia.com/terms/h/hedge-fund-manager.asp"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8.png"/><Relationship Id="rId64" Type="http://schemas.openxmlformats.org/officeDocument/2006/relationships/image" Target="media/image46.jpg"/><Relationship Id="rId69" Type="http://schemas.openxmlformats.org/officeDocument/2006/relationships/image" Target="media/image51.jpg"/><Relationship Id="rId77" Type="http://schemas.openxmlformats.org/officeDocument/2006/relationships/image" Target="media/image58.png"/><Relationship Id="rId8" Type="http://schemas.openxmlformats.org/officeDocument/2006/relationships/image" Target="media/image1.png"/><Relationship Id="rId51" Type="http://schemas.openxmlformats.org/officeDocument/2006/relationships/image" Target="media/image34.png"/><Relationship Id="rId72" Type="http://schemas.openxmlformats.org/officeDocument/2006/relationships/image" Target="media/image54.png"/><Relationship Id="rId80" Type="http://schemas.openxmlformats.org/officeDocument/2006/relationships/header" Target="header2.xml"/><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www.investopedia.com/terms/b/beta.asp" TargetMode="Externa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1.png"/><Relationship Id="rId67" Type="http://schemas.openxmlformats.org/officeDocument/2006/relationships/image" Target="media/image49.jpg"/><Relationship Id="rId20" Type="http://schemas.openxmlformats.org/officeDocument/2006/relationships/image" Target="media/image4.png"/><Relationship Id="rId41" Type="http://schemas.openxmlformats.org/officeDocument/2006/relationships/image" Target="media/image24.png"/><Relationship Id="rId54" Type="http://schemas.openxmlformats.org/officeDocument/2006/relationships/image" Target="media/image36.png"/><Relationship Id="rId62" Type="http://schemas.openxmlformats.org/officeDocument/2006/relationships/image" Target="media/image44.jpg"/><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2.png"/><Relationship Id="rId57" Type="http://schemas.openxmlformats.org/officeDocument/2006/relationships/image" Target="media/image39.png"/><Relationship Id="rId10" Type="http://schemas.openxmlformats.org/officeDocument/2006/relationships/hyperlink" Target="https://www.investopedia.com/terms/b/bullmarket.asp" TargetMode="External"/><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hyperlink" Target="https://pdfs.semanticscholar.org/a83b/d033252f311d3a40c3c20fb52b03d6a6f5df.pdf" TargetMode="External"/><Relationship Id="rId60" Type="http://schemas.openxmlformats.org/officeDocument/2006/relationships/image" Target="media/image42.png"/><Relationship Id="rId65" Type="http://schemas.openxmlformats.org/officeDocument/2006/relationships/image" Target="media/image47.jpg"/><Relationship Id="rId73" Type="http://schemas.openxmlformats.org/officeDocument/2006/relationships/image" Target="media/image55.png"/><Relationship Id="rId78" Type="http://schemas.openxmlformats.org/officeDocument/2006/relationships/hyperlink" Target="https://www.snifferquant.net/GameChangerBetaCalculator" TargetMode="External"/><Relationship Id="rId81" Type="http://schemas.openxmlformats.org/officeDocument/2006/relationships/footer" Target="footer1.xml"/><Relationship Id="rId86"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p-s.com/news/impact-of-estimation-period-and-return-interval-on-estimated-beta/" TargetMode="External"/><Relationship Id="rId3" Type="http://schemas.openxmlformats.org/officeDocument/2006/relationships/hyperlink" Target="https://www.investopedia.com/investing/beta-know-risk/" TargetMode="External"/><Relationship Id="rId7" Type="http://schemas.openxmlformats.org/officeDocument/2006/relationships/hyperlink" Target="https://www.jstor.org/stable/4478650?seq=1" TargetMode="External"/><Relationship Id="rId2" Type="http://schemas.openxmlformats.org/officeDocument/2006/relationships/hyperlink" Target="https://en.wikipedia.org/wiki/Beta_(finance)" TargetMode="External"/><Relationship Id="rId1" Type="http://schemas.openxmlformats.org/officeDocument/2006/relationships/hyperlink" Target="https://www.investopedia.com/ask/answers/012915/whats-relationship-between-r-squared-and-beta.asp" TargetMode="External"/><Relationship Id="rId6" Type="http://schemas.openxmlformats.org/officeDocument/2006/relationships/hyperlink" Target="https://pdfs.semanticscholar.org/e6ed/174cb2e0dfe24dc450acf10570da1138626b.pdf" TargetMode="External"/><Relationship Id="rId5" Type="http://schemas.openxmlformats.org/officeDocument/2006/relationships/hyperlink" Target="https://pdfs.semanticscholar.org/a83b/d033252f311d3a40c3c20fb52b03d6a6f5df.pdf" TargetMode="External"/><Relationship Id="rId4" Type="http://schemas.openxmlformats.org/officeDocument/2006/relationships/hyperlink" Target="http://www.studyfinance.com/jfsd/pdffiles/v13n1/daves.pdf" TargetMode="External"/><Relationship Id="rId9" Type="http://schemas.openxmlformats.org/officeDocument/2006/relationships/hyperlink" Target="http://investexcel.net/how-does-yahoo-finance-calculate-bet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41</Pages>
  <Words>7084</Words>
  <Characters>40381</Characters>
  <Application>Microsoft Office Word</Application>
  <DocSecurity>0</DocSecurity>
  <Lines>336</Lines>
  <Paragraphs>94</Paragraphs>
  <ScaleCrop>false</ScaleCrop>
  <Company/>
  <LinksUpToDate>false</LinksUpToDate>
  <CharactersWithSpaces>47371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gyantal</cp:lastModifiedBy>
  <cp:revision>2</cp:revision>
  <dcterms:created xsi:type="dcterms:W3CDTF">2020-09-09T10:50:00Z</dcterms:created>
  <dcterms:modified xsi:type="dcterms:W3CDTF">2020-09-09T10:53:00Z</dcterms:modified>
</cp:coreProperties>
</file>