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2CC69340" w14:textId="746EFE68" w:rsidR="006304CC" w:rsidRDefault="006304CC">
      <w:pPr>
        <w:pStyle w:val="Title"/>
        <w:pBdr>
          <w:top w:val="nil"/>
          <w:left w:val="nil"/>
          <w:bottom w:val="nil"/>
          <w:right w:val="nil"/>
          <w:between w:val="nil"/>
        </w:pBdr>
        <w:jc w:val="center"/>
        <w:rPr>
          <w:b/>
          <w:color w:val="0000FF"/>
        </w:rPr>
      </w:pPr>
      <w:bookmarkStart w:id="0" w:name="_b1y0q5med62k" w:colFirst="0" w:colLast="0"/>
      <w:bookmarkEnd w:id="0"/>
    </w:p>
    <w:p w14:paraId="60B38BF0" w14:textId="77777777" w:rsidR="006304CC" w:rsidRDefault="006304CC" w:rsidP="006304CC">
      <w:pPr>
        <w:jc w:val="center"/>
      </w:pPr>
      <w:proofErr w:type="spellStart"/>
      <w:r>
        <w:t>Dr.</w:t>
      </w:r>
      <w:proofErr w:type="spellEnd"/>
      <w:r>
        <w:t xml:space="preserve"> George </w:t>
      </w:r>
      <w:proofErr w:type="spellStart"/>
      <w:r>
        <w:t>Antal</w:t>
      </w:r>
      <w:proofErr w:type="spellEnd"/>
    </w:p>
    <w:p w14:paraId="630C4DDA" w14:textId="77777777" w:rsidR="006304CC" w:rsidRDefault="006304CC" w:rsidP="006304CC">
      <w:pPr>
        <w:jc w:val="center"/>
      </w:pPr>
      <w:r>
        <w:t>3D Click Limited</w:t>
      </w:r>
    </w:p>
    <w:p w14:paraId="6122BF0F" w14:textId="40FDAD88" w:rsidR="006304CC" w:rsidRDefault="006304CC" w:rsidP="006304CC">
      <w:pPr>
        <w:jc w:val="center"/>
      </w:pPr>
      <w:r>
        <w:t>c/o Suite 431, 28 Old Brompton Road, London SW7 3SS</w:t>
      </w:r>
    </w:p>
    <w:p w14:paraId="7F5C4FEE" w14:textId="590BC19C" w:rsidR="00817C1B" w:rsidRDefault="00392EBA">
      <w:pPr>
        <w:pStyle w:val="Title"/>
        <w:pBdr>
          <w:top w:val="nil"/>
          <w:left w:val="nil"/>
          <w:bottom w:val="nil"/>
          <w:right w:val="nil"/>
          <w:between w:val="nil"/>
        </w:pBdr>
        <w:jc w:val="center"/>
        <w:rPr>
          <w:b/>
          <w:color w:val="0000FF"/>
        </w:rPr>
      </w:pPr>
      <w:r>
        <w:rPr>
          <w:b/>
          <w:color w:val="0000FF"/>
        </w:rPr>
        <w:t xml:space="preserve">In-Depth Analysis of QQQ Put Option Insurance Strategy </w:t>
      </w:r>
    </w:p>
    <w:p w14:paraId="13735965" w14:textId="77777777" w:rsidR="00817C1B" w:rsidRDefault="00817C1B"/>
    <w:p w14:paraId="4B393BF3" w14:textId="77777777" w:rsidR="00817C1B" w:rsidRDefault="00817C1B"/>
    <w:sdt>
      <w:sdtPr>
        <w:id w:val="-461111037"/>
        <w:docPartObj>
          <w:docPartGallery w:val="Table of Contents"/>
          <w:docPartUnique/>
        </w:docPartObj>
      </w:sdtPr>
      <w:sdtEndPr/>
      <w:sdtContent>
        <w:p w14:paraId="6DBDC552" w14:textId="77777777" w:rsidR="00817C1B" w:rsidRDefault="00392EBA">
          <w:pPr>
            <w:tabs>
              <w:tab w:val="right" w:pos="11106"/>
            </w:tabs>
            <w:spacing w:before="80" w:line="240" w:lineRule="auto"/>
            <w:rPr>
              <w:color w:val="0000FF"/>
            </w:rPr>
          </w:pPr>
          <w:r>
            <w:fldChar w:fldCharType="begin"/>
          </w:r>
          <w:r>
            <w:instrText xml:space="preserve"> TOC \h \u \z </w:instrText>
          </w:r>
          <w:r>
            <w:fldChar w:fldCharType="separate"/>
          </w:r>
          <w:hyperlink w:anchor="_jy3eo1ds1hnk">
            <w:r>
              <w:rPr>
                <w:b/>
                <w:color w:val="0000FF"/>
              </w:rPr>
              <w:t>Motivation</w:t>
            </w:r>
          </w:hyperlink>
          <w:r>
            <w:rPr>
              <w:b/>
              <w:color w:val="0000FF"/>
            </w:rPr>
            <w:tab/>
          </w:r>
          <w:r>
            <w:fldChar w:fldCharType="begin"/>
          </w:r>
          <w:r>
            <w:instrText xml:space="preserve"> PAGEREF _jy3eo1ds1hnk \h </w:instrText>
          </w:r>
          <w:r>
            <w:fldChar w:fldCharType="separate"/>
          </w:r>
          <w:r>
            <w:rPr>
              <w:b/>
              <w:color w:val="0000FF"/>
            </w:rPr>
            <w:t>1</w:t>
          </w:r>
          <w:r>
            <w:fldChar w:fldCharType="end"/>
          </w:r>
        </w:p>
        <w:p w14:paraId="2447D825" w14:textId="77777777" w:rsidR="00817C1B" w:rsidRDefault="00392EBA">
          <w:pPr>
            <w:tabs>
              <w:tab w:val="right" w:pos="11106"/>
            </w:tabs>
            <w:spacing w:before="200" w:line="240" w:lineRule="auto"/>
            <w:rPr>
              <w:b/>
              <w:color w:val="0000FF"/>
            </w:rPr>
          </w:pPr>
          <w:hyperlink w:anchor="_1bic9w1h4fub">
            <w:r>
              <w:rPr>
                <w:b/>
                <w:color w:val="0000FF"/>
              </w:rPr>
              <w:t>Background</w:t>
            </w:r>
          </w:hyperlink>
          <w:r>
            <w:rPr>
              <w:b/>
              <w:color w:val="0000FF"/>
            </w:rPr>
            <w:tab/>
          </w:r>
          <w:r>
            <w:fldChar w:fldCharType="begin"/>
          </w:r>
          <w:r>
            <w:instrText xml:space="preserve"> PAGEREF _1bic9w1h4fub \h </w:instrText>
          </w:r>
          <w:r>
            <w:fldChar w:fldCharType="separate"/>
          </w:r>
          <w:r>
            <w:rPr>
              <w:b/>
              <w:color w:val="0000FF"/>
            </w:rPr>
            <w:t>2</w:t>
          </w:r>
          <w:r>
            <w:fldChar w:fldCharType="end"/>
          </w:r>
        </w:p>
        <w:p w14:paraId="733BD8EF" w14:textId="77777777" w:rsidR="00817C1B" w:rsidRDefault="00392EBA">
          <w:pPr>
            <w:tabs>
              <w:tab w:val="right" w:pos="11106"/>
            </w:tabs>
            <w:spacing w:before="200" w:line="240" w:lineRule="auto"/>
            <w:rPr>
              <w:b/>
              <w:color w:val="0000FF"/>
            </w:rPr>
          </w:pPr>
          <w:hyperlink w:anchor="_dni33xrtkkxe">
            <w:r>
              <w:rPr>
                <w:b/>
                <w:color w:val="0000FF"/>
              </w:rPr>
              <w:t>Results</w:t>
            </w:r>
          </w:hyperlink>
          <w:r>
            <w:rPr>
              <w:b/>
              <w:color w:val="0000FF"/>
            </w:rPr>
            <w:tab/>
          </w:r>
          <w:r>
            <w:fldChar w:fldCharType="begin"/>
          </w:r>
          <w:r>
            <w:instrText xml:space="preserve"> PAGE</w:instrText>
          </w:r>
          <w:r>
            <w:instrText xml:space="preserve">REF _dni33xrtkkxe \h </w:instrText>
          </w:r>
          <w:r>
            <w:fldChar w:fldCharType="separate"/>
          </w:r>
          <w:r>
            <w:rPr>
              <w:b/>
              <w:color w:val="0000FF"/>
            </w:rPr>
            <w:t>8</w:t>
          </w:r>
          <w:r>
            <w:fldChar w:fldCharType="end"/>
          </w:r>
        </w:p>
        <w:p w14:paraId="59FE2C54" w14:textId="77777777" w:rsidR="00817C1B" w:rsidRDefault="00392EBA">
          <w:pPr>
            <w:tabs>
              <w:tab w:val="right" w:pos="11106"/>
            </w:tabs>
            <w:spacing w:before="60" w:line="240" w:lineRule="auto"/>
            <w:ind w:left="360"/>
            <w:rPr>
              <w:color w:val="0000FF"/>
            </w:rPr>
          </w:pPr>
          <w:hyperlink w:anchor="_yuk6yhomqn00">
            <w:r>
              <w:rPr>
                <w:color w:val="0000FF"/>
              </w:rPr>
              <w:t>Real Life Performance of the QQQ Put Option Insurance Strategy - 2011-2019</w:t>
            </w:r>
          </w:hyperlink>
          <w:r>
            <w:rPr>
              <w:color w:val="0000FF"/>
            </w:rPr>
            <w:tab/>
          </w:r>
          <w:r>
            <w:fldChar w:fldCharType="begin"/>
          </w:r>
          <w:r>
            <w:instrText xml:space="preserve"> PAGEREF _yuk6yhomqn00 \h </w:instrText>
          </w:r>
          <w:r>
            <w:fldChar w:fldCharType="separate"/>
          </w:r>
          <w:r>
            <w:rPr>
              <w:color w:val="0000FF"/>
            </w:rPr>
            <w:t>8</w:t>
          </w:r>
          <w:r>
            <w:fldChar w:fldCharType="end"/>
          </w:r>
        </w:p>
        <w:p w14:paraId="06F774C0" w14:textId="77777777" w:rsidR="00817C1B" w:rsidRDefault="00392EBA">
          <w:pPr>
            <w:tabs>
              <w:tab w:val="right" w:pos="11106"/>
            </w:tabs>
            <w:spacing w:before="60" w:line="240" w:lineRule="auto"/>
            <w:ind w:left="360"/>
            <w:rPr>
              <w:color w:val="0000FF"/>
            </w:rPr>
          </w:pPr>
          <w:hyperlink w:anchor="_3qnxdbxrgvt4">
            <w:r>
              <w:rPr>
                <w:color w:val="0000FF"/>
              </w:rPr>
              <w:t>Digging deeper into the QQQ Put Option Insurance Strategy</w:t>
            </w:r>
          </w:hyperlink>
          <w:r>
            <w:rPr>
              <w:color w:val="0000FF"/>
            </w:rPr>
            <w:tab/>
          </w:r>
          <w:r>
            <w:fldChar w:fldCharType="begin"/>
          </w:r>
          <w:r>
            <w:instrText xml:space="preserve"> PAGEREF _3qnxdbxrgvt4 \h </w:instrText>
          </w:r>
          <w:r>
            <w:fldChar w:fldCharType="separate"/>
          </w:r>
          <w:r>
            <w:rPr>
              <w:color w:val="0000FF"/>
            </w:rPr>
            <w:t>12</w:t>
          </w:r>
          <w:r>
            <w:fldChar w:fldCharType="end"/>
          </w:r>
        </w:p>
        <w:p w14:paraId="5E46A23F" w14:textId="77777777" w:rsidR="00817C1B" w:rsidRDefault="00392EBA">
          <w:pPr>
            <w:tabs>
              <w:tab w:val="right" w:pos="11106"/>
            </w:tabs>
            <w:spacing w:before="60" w:line="240" w:lineRule="auto"/>
            <w:ind w:left="720"/>
            <w:rPr>
              <w:color w:val="0000FF"/>
            </w:rPr>
          </w:pPr>
          <w:hyperlink w:anchor="_7lpr7bmfxz0a">
            <w:r>
              <w:rPr>
                <w:color w:val="0000FF"/>
              </w:rPr>
              <w:t>The Effect of Volatility on QQQ Put Option Insurance Strategy</w:t>
            </w:r>
          </w:hyperlink>
          <w:r>
            <w:rPr>
              <w:color w:val="0000FF"/>
            </w:rPr>
            <w:tab/>
          </w:r>
          <w:r>
            <w:fldChar w:fldCharType="begin"/>
          </w:r>
          <w:r>
            <w:instrText xml:space="preserve"> PAGEREF _7lpr7bmfxz0a \h </w:instrText>
          </w:r>
          <w:r>
            <w:fldChar w:fldCharType="separate"/>
          </w:r>
          <w:r>
            <w:rPr>
              <w:color w:val="0000FF"/>
            </w:rPr>
            <w:t>12</w:t>
          </w:r>
          <w:r>
            <w:fldChar w:fldCharType="end"/>
          </w:r>
        </w:p>
        <w:p w14:paraId="56CB2314" w14:textId="77777777" w:rsidR="00817C1B" w:rsidRDefault="00392EBA">
          <w:pPr>
            <w:tabs>
              <w:tab w:val="right" w:pos="11106"/>
            </w:tabs>
            <w:spacing w:before="60" w:line="240" w:lineRule="auto"/>
            <w:ind w:left="720"/>
            <w:rPr>
              <w:color w:val="0000FF"/>
            </w:rPr>
          </w:pPr>
          <w:hyperlink w:anchor="_y9x4z7f27i65">
            <w:r>
              <w:rPr>
                <w:color w:val="0000FF"/>
              </w:rPr>
              <w:t>The Effect of QQQ Price Cha</w:t>
            </w:r>
            <w:r>
              <w:rPr>
                <w:color w:val="0000FF"/>
              </w:rPr>
              <w:t>nge in Previous Month on QQQ Put Option Insurance Strategy</w:t>
            </w:r>
          </w:hyperlink>
          <w:r>
            <w:rPr>
              <w:color w:val="0000FF"/>
            </w:rPr>
            <w:tab/>
          </w:r>
          <w:r>
            <w:fldChar w:fldCharType="begin"/>
          </w:r>
          <w:r>
            <w:instrText xml:space="preserve"> PAGEREF _y9x4z7f27i65 \h </w:instrText>
          </w:r>
          <w:r>
            <w:fldChar w:fldCharType="separate"/>
          </w:r>
          <w:r>
            <w:rPr>
              <w:color w:val="0000FF"/>
            </w:rPr>
            <w:t>17</w:t>
          </w:r>
          <w:r>
            <w:fldChar w:fldCharType="end"/>
          </w:r>
        </w:p>
        <w:p w14:paraId="4A0D8816" w14:textId="77777777" w:rsidR="00817C1B" w:rsidRDefault="00392EBA">
          <w:pPr>
            <w:tabs>
              <w:tab w:val="right" w:pos="11106"/>
            </w:tabs>
            <w:spacing w:before="60" w:line="240" w:lineRule="auto"/>
            <w:ind w:left="720"/>
            <w:rPr>
              <w:color w:val="0000FF"/>
            </w:rPr>
          </w:pPr>
          <w:hyperlink w:anchor="_u3sqle52otpo">
            <w:r>
              <w:rPr>
                <w:color w:val="0000FF"/>
              </w:rPr>
              <w:t>Distribution of Monthly Profits - Buy&amp;Hold QQQ vs. Put Option Pro</w:t>
            </w:r>
            <w:r>
              <w:rPr>
                <w:color w:val="0000FF"/>
              </w:rPr>
              <w:t>tection</w:t>
            </w:r>
          </w:hyperlink>
          <w:r>
            <w:rPr>
              <w:color w:val="0000FF"/>
            </w:rPr>
            <w:tab/>
          </w:r>
          <w:r>
            <w:fldChar w:fldCharType="begin"/>
          </w:r>
          <w:r>
            <w:instrText xml:space="preserve"> PAGEREF _u3sqle52otpo \h </w:instrText>
          </w:r>
          <w:r>
            <w:fldChar w:fldCharType="separate"/>
          </w:r>
          <w:r>
            <w:rPr>
              <w:color w:val="0000FF"/>
            </w:rPr>
            <w:t>19</w:t>
          </w:r>
          <w:r>
            <w:fldChar w:fldCharType="end"/>
          </w:r>
        </w:p>
        <w:p w14:paraId="042A9B53" w14:textId="77777777" w:rsidR="00817C1B" w:rsidRDefault="00392EBA">
          <w:pPr>
            <w:tabs>
              <w:tab w:val="right" w:pos="11106"/>
            </w:tabs>
            <w:spacing w:before="60" w:line="240" w:lineRule="auto"/>
            <w:ind w:left="720"/>
            <w:rPr>
              <w:color w:val="0000FF"/>
            </w:rPr>
          </w:pPr>
          <w:hyperlink w:anchor="_1um6pvvoky83">
            <w:r>
              <w:rPr>
                <w:color w:val="0000FF"/>
              </w:rPr>
              <w:t>Effect of Double Option Exposure on Profitability</w:t>
            </w:r>
          </w:hyperlink>
          <w:r>
            <w:rPr>
              <w:color w:val="0000FF"/>
            </w:rPr>
            <w:tab/>
          </w:r>
          <w:r>
            <w:fldChar w:fldCharType="begin"/>
          </w:r>
          <w:r>
            <w:instrText xml:space="preserve"> PAGEREF _1um6pvvoky83 \h </w:instrText>
          </w:r>
          <w:r>
            <w:fldChar w:fldCharType="separate"/>
          </w:r>
          <w:r>
            <w:rPr>
              <w:color w:val="0000FF"/>
            </w:rPr>
            <w:t>21</w:t>
          </w:r>
          <w:r>
            <w:fldChar w:fldCharType="end"/>
          </w:r>
        </w:p>
        <w:p w14:paraId="71955EC5" w14:textId="77777777" w:rsidR="00817C1B" w:rsidRDefault="00392EBA">
          <w:pPr>
            <w:tabs>
              <w:tab w:val="right" w:pos="11106"/>
            </w:tabs>
            <w:spacing w:before="60" w:line="240" w:lineRule="auto"/>
            <w:ind w:left="720"/>
            <w:rPr>
              <w:color w:val="0000FF"/>
            </w:rPr>
          </w:pPr>
          <w:hyperlink w:anchor="_74cyyy6tuybv">
            <w:r>
              <w:rPr>
                <w:color w:val="0000FF"/>
              </w:rPr>
              <w:t>Extending QQQ Put Option Insurance Strategy with Bonds</w:t>
            </w:r>
          </w:hyperlink>
          <w:r>
            <w:rPr>
              <w:color w:val="0000FF"/>
            </w:rPr>
            <w:tab/>
          </w:r>
          <w:r>
            <w:fldChar w:fldCharType="begin"/>
          </w:r>
          <w:r>
            <w:instrText xml:space="preserve"> PAGEREF _74cyyy6tuybv \h </w:instrText>
          </w:r>
          <w:r>
            <w:fldChar w:fldCharType="separate"/>
          </w:r>
          <w:r>
            <w:rPr>
              <w:color w:val="0000FF"/>
            </w:rPr>
            <w:t>23</w:t>
          </w:r>
          <w:r>
            <w:fldChar w:fldCharType="end"/>
          </w:r>
        </w:p>
        <w:p w14:paraId="0A619E6F" w14:textId="77777777" w:rsidR="00817C1B" w:rsidRDefault="00392EBA">
          <w:pPr>
            <w:tabs>
              <w:tab w:val="right" w:pos="11106"/>
            </w:tabs>
            <w:spacing w:before="60" w:line="240" w:lineRule="auto"/>
            <w:ind w:left="360"/>
            <w:rPr>
              <w:color w:val="0000FF"/>
            </w:rPr>
          </w:pPr>
          <w:hyperlink w:anchor="_gx8rd4m6m6js">
            <w:r>
              <w:rPr>
                <w:color w:val="0000FF"/>
              </w:rPr>
              <w:t>P</w:t>
            </w:r>
            <w:r>
              <w:rPr>
                <w:color w:val="0000FF"/>
              </w:rPr>
              <w:t>erformance Analysis using Monte-Carlo Simulations</w:t>
            </w:r>
          </w:hyperlink>
          <w:r>
            <w:rPr>
              <w:color w:val="0000FF"/>
            </w:rPr>
            <w:tab/>
          </w:r>
          <w:r>
            <w:fldChar w:fldCharType="begin"/>
          </w:r>
          <w:r>
            <w:instrText xml:space="preserve"> PAGEREF _gx8rd4m6m6js \h </w:instrText>
          </w:r>
          <w:r>
            <w:fldChar w:fldCharType="separate"/>
          </w:r>
          <w:r>
            <w:rPr>
              <w:color w:val="0000FF"/>
            </w:rPr>
            <w:t>31</w:t>
          </w:r>
          <w:r>
            <w:fldChar w:fldCharType="end"/>
          </w:r>
        </w:p>
        <w:p w14:paraId="5E07CD55" w14:textId="77777777" w:rsidR="00817C1B" w:rsidRDefault="00392EBA">
          <w:pPr>
            <w:tabs>
              <w:tab w:val="right" w:pos="11106"/>
            </w:tabs>
            <w:spacing w:before="60" w:line="240" w:lineRule="auto"/>
            <w:ind w:left="720"/>
            <w:rPr>
              <w:color w:val="0000FF"/>
            </w:rPr>
          </w:pPr>
          <w:hyperlink w:anchor="_h1mbtkdlhqot">
            <w:r>
              <w:rPr>
                <w:color w:val="0000FF"/>
              </w:rPr>
              <w:t>Methodology</w:t>
            </w:r>
          </w:hyperlink>
          <w:r>
            <w:rPr>
              <w:color w:val="0000FF"/>
            </w:rPr>
            <w:tab/>
          </w:r>
          <w:r>
            <w:fldChar w:fldCharType="begin"/>
          </w:r>
          <w:r>
            <w:instrText xml:space="preserve"> PAGEREF _h1mbtkdlhqot \h </w:instrText>
          </w:r>
          <w:r>
            <w:fldChar w:fldCharType="separate"/>
          </w:r>
          <w:r>
            <w:rPr>
              <w:color w:val="0000FF"/>
            </w:rPr>
            <w:t>31</w:t>
          </w:r>
          <w:r>
            <w:fldChar w:fldCharType="end"/>
          </w:r>
        </w:p>
        <w:p w14:paraId="6C5D1AE1" w14:textId="77777777" w:rsidR="00817C1B" w:rsidRDefault="00392EBA">
          <w:pPr>
            <w:tabs>
              <w:tab w:val="right" w:pos="11106"/>
            </w:tabs>
            <w:spacing w:before="60" w:line="240" w:lineRule="auto"/>
            <w:ind w:left="720"/>
            <w:rPr>
              <w:color w:val="0000FF"/>
            </w:rPr>
          </w:pPr>
          <w:hyperlink w:anchor="_np54v1di1mrf">
            <w:r>
              <w:rPr>
                <w:color w:val="0000FF"/>
              </w:rPr>
              <w:t>Results</w:t>
            </w:r>
          </w:hyperlink>
          <w:r>
            <w:rPr>
              <w:color w:val="0000FF"/>
            </w:rPr>
            <w:tab/>
          </w:r>
          <w:r>
            <w:fldChar w:fldCharType="begin"/>
          </w:r>
          <w:r>
            <w:instrText xml:space="preserve"> PAGEREF _np54v1di1mrf \h </w:instrText>
          </w:r>
          <w:r>
            <w:fldChar w:fldCharType="separate"/>
          </w:r>
          <w:r>
            <w:rPr>
              <w:color w:val="0000FF"/>
            </w:rPr>
            <w:t>32</w:t>
          </w:r>
          <w:r>
            <w:fldChar w:fldCharType="end"/>
          </w:r>
        </w:p>
        <w:p w14:paraId="4ADD243F" w14:textId="77777777" w:rsidR="00817C1B" w:rsidRDefault="00392EBA">
          <w:pPr>
            <w:tabs>
              <w:tab w:val="right" w:pos="11106"/>
            </w:tabs>
            <w:spacing w:before="60" w:line="240" w:lineRule="auto"/>
            <w:ind w:left="720"/>
            <w:rPr>
              <w:color w:val="0000FF"/>
            </w:rPr>
          </w:pPr>
          <w:hyperlink w:anchor="_2z8el0elzobm">
            <w:r>
              <w:rPr>
                <w:color w:val="0000FF"/>
              </w:rPr>
              <w:t>Summary of Simu</w:t>
            </w:r>
            <w:r>
              <w:rPr>
                <w:color w:val="0000FF"/>
              </w:rPr>
              <w:t>lation</w:t>
            </w:r>
          </w:hyperlink>
          <w:r>
            <w:rPr>
              <w:color w:val="0000FF"/>
            </w:rPr>
            <w:tab/>
          </w:r>
          <w:r>
            <w:fldChar w:fldCharType="begin"/>
          </w:r>
          <w:r>
            <w:instrText xml:space="preserve"> PAGEREF _2z8el0elzobm \h </w:instrText>
          </w:r>
          <w:r>
            <w:fldChar w:fldCharType="separate"/>
          </w:r>
          <w:r>
            <w:rPr>
              <w:color w:val="0000FF"/>
            </w:rPr>
            <w:t>90</w:t>
          </w:r>
          <w:r>
            <w:fldChar w:fldCharType="end"/>
          </w:r>
        </w:p>
        <w:p w14:paraId="20C45E21" w14:textId="77777777" w:rsidR="00817C1B" w:rsidRDefault="00392EBA">
          <w:pPr>
            <w:tabs>
              <w:tab w:val="right" w:pos="11106"/>
            </w:tabs>
            <w:spacing w:before="200" w:after="80" w:line="240" w:lineRule="auto"/>
            <w:rPr>
              <w:b/>
              <w:color w:val="0000FF"/>
            </w:rPr>
          </w:pPr>
          <w:hyperlink w:anchor="_853zpfgwfbqd">
            <w:r>
              <w:rPr>
                <w:b/>
                <w:color w:val="0000FF"/>
              </w:rPr>
              <w:t>Conclusions</w:t>
            </w:r>
          </w:hyperlink>
          <w:r>
            <w:rPr>
              <w:b/>
              <w:color w:val="0000FF"/>
            </w:rPr>
            <w:tab/>
          </w:r>
          <w:r>
            <w:fldChar w:fldCharType="begin"/>
          </w:r>
          <w:r>
            <w:instrText xml:space="preserve"> PAGEREF _853zpfgwfbqd \h </w:instrText>
          </w:r>
          <w:r>
            <w:fldChar w:fldCharType="separate"/>
          </w:r>
          <w:r>
            <w:rPr>
              <w:b/>
              <w:color w:val="0000FF"/>
            </w:rPr>
            <w:t>95</w:t>
          </w:r>
          <w:r>
            <w:fldChar w:fldCharType="end"/>
          </w:r>
          <w:r>
            <w:fldChar w:fldCharType="end"/>
          </w:r>
        </w:p>
      </w:sdtContent>
    </w:sdt>
    <w:p w14:paraId="285BD847" w14:textId="77777777" w:rsidR="00817C1B" w:rsidRDefault="00392EBA">
      <w:pPr>
        <w:pStyle w:val="Heading1"/>
        <w:pBdr>
          <w:top w:val="nil"/>
          <w:left w:val="nil"/>
          <w:bottom w:val="nil"/>
          <w:right w:val="nil"/>
          <w:between w:val="nil"/>
        </w:pBdr>
        <w:spacing w:before="3600" w:line="268" w:lineRule="auto"/>
        <w:rPr>
          <w:color w:val="38761D"/>
        </w:rPr>
      </w:pPr>
      <w:bookmarkStart w:id="1" w:name="_jy3eo1ds1hnk" w:colFirst="0" w:colLast="0"/>
      <w:bookmarkEnd w:id="1"/>
      <w:r>
        <w:rPr>
          <w:color w:val="38761D"/>
        </w:rPr>
        <w:t>Motivation</w:t>
      </w:r>
    </w:p>
    <w:p w14:paraId="6684EFC9" w14:textId="77777777" w:rsidR="00817C1B" w:rsidRDefault="00817C1B">
      <w:pPr>
        <w:pBdr>
          <w:top w:val="nil"/>
          <w:left w:val="nil"/>
          <w:bottom w:val="nil"/>
          <w:right w:val="nil"/>
          <w:between w:val="nil"/>
        </w:pBdr>
        <w:jc w:val="both"/>
      </w:pPr>
    </w:p>
    <w:p w14:paraId="14EFE39D" w14:textId="77777777" w:rsidR="00817C1B" w:rsidRDefault="00392EBA">
      <w:pPr>
        <w:jc w:val="both"/>
      </w:pPr>
      <w:r>
        <w:t xml:space="preserve">In 2018, a new </w:t>
      </w:r>
      <w:r>
        <w:rPr>
          <w:b/>
          <w:i/>
        </w:rPr>
        <w:t>‘</w:t>
      </w:r>
      <w:hyperlink r:id="rId7">
        <w:r>
          <w:rPr>
            <w:b/>
            <w:i/>
            <w:color w:val="1155CC"/>
            <w:u w:val="single"/>
          </w:rPr>
          <w:t>QQQ Put Option Insurance Strategy</w:t>
        </w:r>
      </w:hyperlink>
      <w:r>
        <w:rPr>
          <w:b/>
          <w:i/>
        </w:rPr>
        <w:t>’</w:t>
      </w:r>
      <w:r>
        <w:t xml:space="preserve"> was developed as a hedge of our </w:t>
      </w:r>
      <w:proofErr w:type="spellStart"/>
      <w:r>
        <w:t>GameChanger</w:t>
      </w:r>
      <w:proofErr w:type="spellEnd"/>
      <w:r>
        <w:t xml:space="preserve"> portfolio. Although we </w:t>
      </w:r>
      <w:r>
        <w:rPr>
          <w:b/>
        </w:rPr>
        <w:t>have not played it so far</w:t>
      </w:r>
      <w:r>
        <w:t xml:space="preserve">, it looks </w:t>
      </w:r>
      <w:r>
        <w:rPr>
          <w:b/>
        </w:rPr>
        <w:t>very</w:t>
      </w:r>
      <w:r>
        <w:rPr>
          <w:b/>
        </w:rPr>
        <w:t xml:space="preserve"> promising</w:t>
      </w:r>
      <w:r>
        <w:t xml:space="preserve"> for later use, especially when </w:t>
      </w:r>
      <w:r>
        <w:rPr>
          <w:b/>
        </w:rPr>
        <w:t>someone wants to prepare for an upcoming recession</w:t>
      </w:r>
      <w:r>
        <w:t xml:space="preserve">. In this current study, an in-depth analysis of this </w:t>
      </w:r>
      <w:r>
        <w:rPr>
          <w:b/>
        </w:rPr>
        <w:t>strategy and a possible extension is also presented</w:t>
      </w:r>
      <w:r>
        <w:t>. During calculations, we are using</w:t>
      </w:r>
      <w:r>
        <w:rPr>
          <w:b/>
        </w:rPr>
        <w:t xml:space="preserve"> real QQQ stock and opti</w:t>
      </w:r>
      <w:r>
        <w:rPr>
          <w:b/>
        </w:rPr>
        <w:t xml:space="preserve">on prices from 2011-03-23 to 2019-05-17 </w:t>
      </w:r>
      <w:r>
        <w:t>(we do not have real option prices before this period).</w:t>
      </w:r>
      <w:r>
        <w:rPr>
          <w:vertAlign w:val="superscript"/>
        </w:rPr>
        <w:footnoteReference w:id="1"/>
      </w:r>
    </w:p>
    <w:p w14:paraId="41F227F3" w14:textId="77777777" w:rsidR="00817C1B" w:rsidRDefault="00392EBA">
      <w:pPr>
        <w:pStyle w:val="Heading1"/>
        <w:spacing w:before="0" w:line="271" w:lineRule="auto"/>
        <w:rPr>
          <w:color w:val="38761D"/>
        </w:rPr>
      </w:pPr>
      <w:bookmarkStart w:id="2" w:name="_80exymy0d6i3" w:colFirst="0" w:colLast="0"/>
      <w:bookmarkStart w:id="3" w:name="_1bic9w1h4fub" w:colFirst="0" w:colLast="0"/>
      <w:bookmarkEnd w:id="2"/>
      <w:bookmarkEnd w:id="3"/>
      <w:r>
        <w:rPr>
          <w:color w:val="38761D"/>
        </w:rPr>
        <w:lastRenderedPageBreak/>
        <w:t>Background</w:t>
      </w:r>
    </w:p>
    <w:p w14:paraId="01F3672E" w14:textId="77777777" w:rsidR="00817C1B" w:rsidRDefault="00817C1B"/>
    <w:p w14:paraId="71C9F147" w14:textId="77777777" w:rsidR="00817C1B" w:rsidRDefault="00392EBA">
      <w:pPr>
        <w:jc w:val="both"/>
        <w:rPr>
          <w:i/>
          <w:color w:val="0000FF"/>
        </w:rPr>
      </w:pPr>
      <w:r>
        <w:rPr>
          <w:i/>
          <w:color w:val="0000FF"/>
        </w:rPr>
        <w:t xml:space="preserve">‘A big part of our total portfolio is </w:t>
      </w:r>
      <w:r>
        <w:rPr>
          <w:b/>
          <w:i/>
          <w:color w:val="0000FF"/>
        </w:rPr>
        <w:t xml:space="preserve">long </w:t>
      </w:r>
      <w:proofErr w:type="spellStart"/>
      <w:r>
        <w:rPr>
          <w:b/>
          <w:i/>
          <w:color w:val="0000FF"/>
        </w:rPr>
        <w:t>GameChanger</w:t>
      </w:r>
      <w:proofErr w:type="spellEnd"/>
      <w:r>
        <w:rPr>
          <w:b/>
          <w:i/>
          <w:color w:val="0000FF"/>
        </w:rPr>
        <w:t xml:space="preserve"> stocks</w:t>
      </w:r>
      <w:r>
        <w:rPr>
          <w:i/>
          <w:color w:val="0000FF"/>
        </w:rPr>
        <w:t xml:space="preserve">. Recently, this is </w:t>
      </w:r>
      <w:r>
        <w:rPr>
          <w:b/>
          <w:i/>
          <w:color w:val="0000FF"/>
        </w:rPr>
        <w:t>very profitable</w:t>
      </w:r>
      <w:r>
        <w:rPr>
          <w:i/>
          <w:color w:val="0000FF"/>
        </w:rPr>
        <w:t xml:space="preserve"> but </w:t>
      </w:r>
      <w:r>
        <w:rPr>
          <w:b/>
          <w:i/>
          <w:color w:val="0000FF"/>
        </w:rPr>
        <w:t>could very easily turn into huge losses</w:t>
      </w:r>
      <w:r>
        <w:rPr>
          <w:i/>
          <w:color w:val="0000FF"/>
        </w:rPr>
        <w:t>, fo</w:t>
      </w:r>
      <w:r>
        <w:rPr>
          <w:i/>
          <w:color w:val="0000FF"/>
        </w:rPr>
        <w:t xml:space="preserve">r example during a </w:t>
      </w:r>
      <w:r>
        <w:rPr>
          <w:b/>
          <w:i/>
          <w:color w:val="0000FF"/>
        </w:rPr>
        <w:t>market panic</w:t>
      </w:r>
      <w:r>
        <w:rPr>
          <w:i/>
          <w:color w:val="0000FF"/>
        </w:rPr>
        <w:t xml:space="preserve"> or when the long-awaited </w:t>
      </w:r>
      <w:r>
        <w:rPr>
          <w:b/>
          <w:i/>
          <w:color w:val="0000FF"/>
        </w:rPr>
        <w:t>bears finally arrive</w:t>
      </w:r>
      <w:r>
        <w:rPr>
          <w:i/>
          <w:color w:val="0000FF"/>
        </w:rPr>
        <w:t xml:space="preserve">. Therefore, the need arises from time to time to </w:t>
      </w:r>
      <w:r>
        <w:rPr>
          <w:b/>
          <w:i/>
          <w:color w:val="0000FF"/>
        </w:rPr>
        <w:t>establish some kind of protection</w:t>
      </w:r>
      <w:r>
        <w:rPr>
          <w:i/>
          <w:color w:val="0000FF"/>
        </w:rPr>
        <w:t xml:space="preserve"> for our portfolio. In such cases, being able to </w:t>
      </w:r>
      <w:r>
        <w:rPr>
          <w:b/>
          <w:i/>
          <w:color w:val="0000FF"/>
        </w:rPr>
        <w:t>limit the maximum loss</w:t>
      </w:r>
      <w:r>
        <w:rPr>
          <w:i/>
          <w:color w:val="0000FF"/>
        </w:rPr>
        <w:t xml:space="preserve"> is the most important fo</w:t>
      </w:r>
      <w:r>
        <w:rPr>
          <w:i/>
          <w:color w:val="0000FF"/>
        </w:rPr>
        <w:t xml:space="preserve">r a </w:t>
      </w:r>
      <w:r>
        <w:rPr>
          <w:b/>
          <w:i/>
          <w:color w:val="0000FF"/>
        </w:rPr>
        <w:t>risk-averse investor</w:t>
      </w:r>
      <w:r>
        <w:rPr>
          <w:i/>
          <w:color w:val="0000FF"/>
        </w:rPr>
        <w:t xml:space="preserve"> without limiting or significantly reducing expected profit. It is well known that </w:t>
      </w:r>
      <w:r>
        <w:rPr>
          <w:b/>
          <w:i/>
          <w:color w:val="0000FF"/>
        </w:rPr>
        <w:t>every insurance has a price</w:t>
      </w:r>
      <w:r>
        <w:rPr>
          <w:i/>
          <w:color w:val="0000FF"/>
        </w:rPr>
        <w:t>, but it is not all the same that this cost is 10% or even 50% of the profit.</w:t>
      </w:r>
    </w:p>
    <w:p w14:paraId="6B3A1905" w14:textId="77777777" w:rsidR="00817C1B" w:rsidRDefault="00817C1B">
      <w:pPr>
        <w:jc w:val="both"/>
        <w:rPr>
          <w:i/>
          <w:color w:val="0000FF"/>
        </w:rPr>
      </w:pPr>
    </w:p>
    <w:p w14:paraId="2EDEB8B2" w14:textId="77777777" w:rsidR="00817C1B" w:rsidRDefault="00392EBA">
      <w:pPr>
        <w:jc w:val="both"/>
        <w:rPr>
          <w:i/>
          <w:color w:val="0000FF"/>
        </w:rPr>
      </w:pPr>
      <w:r>
        <w:rPr>
          <w:i/>
          <w:color w:val="0000FF"/>
        </w:rPr>
        <w:t xml:space="preserve">One of our ideas is </w:t>
      </w:r>
      <w:r>
        <w:rPr>
          <w:b/>
          <w:i/>
          <w:color w:val="0000FF"/>
        </w:rPr>
        <w:t>buying ATM QQQ put opti</w:t>
      </w:r>
      <w:r>
        <w:rPr>
          <w:b/>
          <w:i/>
          <w:color w:val="0000FF"/>
        </w:rPr>
        <w:t>ons as an insurance (protective put option strategy)</w:t>
      </w:r>
      <w:r>
        <w:rPr>
          <w:i/>
          <w:color w:val="0000FF"/>
        </w:rPr>
        <w:t xml:space="preserve"> and </w:t>
      </w:r>
      <w:r>
        <w:rPr>
          <w:b/>
          <w:i/>
          <w:color w:val="0000FF"/>
        </w:rPr>
        <w:t xml:space="preserve">systematically rebalancing it </w:t>
      </w:r>
      <w:r>
        <w:rPr>
          <w:i/>
          <w:color w:val="0000FF"/>
        </w:rPr>
        <w:t>(using rolling up technique or periodically at expiration).’</w:t>
      </w:r>
    </w:p>
    <w:p w14:paraId="59D40400" w14:textId="77777777" w:rsidR="00817C1B" w:rsidRDefault="00817C1B">
      <w:pPr>
        <w:jc w:val="both"/>
        <w:rPr>
          <w:b/>
          <w:color w:val="FF0000"/>
          <w:sz w:val="28"/>
          <w:szCs w:val="28"/>
        </w:rPr>
      </w:pPr>
    </w:p>
    <w:p w14:paraId="35AA49F2" w14:textId="77777777" w:rsidR="00817C1B" w:rsidRDefault="00392EBA">
      <w:pPr>
        <w:jc w:val="both"/>
        <w:rPr>
          <w:b/>
          <w:color w:val="FF0000"/>
          <w:sz w:val="28"/>
          <w:szCs w:val="28"/>
        </w:rPr>
      </w:pPr>
      <w:r>
        <w:rPr>
          <w:b/>
          <w:color w:val="FF0000"/>
          <w:sz w:val="28"/>
          <w:szCs w:val="28"/>
        </w:rPr>
        <w:t>Protective Put (or Married Put) Option Strategy</w:t>
      </w:r>
      <w:r>
        <w:rPr>
          <w:b/>
          <w:color w:val="FF0000"/>
          <w:sz w:val="28"/>
          <w:szCs w:val="28"/>
          <w:vertAlign w:val="superscript"/>
        </w:rPr>
        <w:footnoteReference w:id="2"/>
      </w:r>
    </w:p>
    <w:p w14:paraId="60E38980" w14:textId="77777777" w:rsidR="00817C1B" w:rsidRDefault="00817C1B">
      <w:pPr>
        <w:jc w:val="both"/>
      </w:pPr>
    </w:p>
    <w:p w14:paraId="141EE35F" w14:textId="77777777" w:rsidR="00817C1B" w:rsidRDefault="00392EBA">
      <w:pPr>
        <w:jc w:val="both"/>
        <w:rPr>
          <w:i/>
          <w:color w:val="0000FF"/>
        </w:rPr>
      </w:pPr>
      <w:r>
        <w:rPr>
          <w:i/>
          <w:color w:val="0000FF"/>
        </w:rPr>
        <w:t xml:space="preserve">A </w:t>
      </w:r>
      <w:r>
        <w:rPr>
          <w:b/>
          <w:i/>
          <w:color w:val="0000FF"/>
        </w:rPr>
        <w:t>Protective Put</w:t>
      </w:r>
      <w:r>
        <w:rPr>
          <w:i/>
          <w:color w:val="0000FF"/>
        </w:rPr>
        <w:t xml:space="preserve"> is where you are </w:t>
      </w:r>
      <w:r>
        <w:rPr>
          <w:b/>
          <w:i/>
          <w:color w:val="0000FF"/>
        </w:rPr>
        <w:t>long the underlying asset</w:t>
      </w:r>
      <w:r>
        <w:rPr>
          <w:i/>
          <w:color w:val="0000FF"/>
        </w:rPr>
        <w:t xml:space="preserve"> and </w:t>
      </w:r>
      <w:r>
        <w:rPr>
          <w:b/>
          <w:i/>
          <w:color w:val="0000FF"/>
        </w:rPr>
        <w:t>also long put options</w:t>
      </w:r>
      <w:r>
        <w:rPr>
          <w:i/>
          <w:color w:val="0000FF"/>
        </w:rPr>
        <w:t xml:space="preserve">. The profile resembles a </w:t>
      </w:r>
      <w:r>
        <w:rPr>
          <w:b/>
          <w:i/>
          <w:color w:val="0000FF"/>
        </w:rPr>
        <w:t>long call</w:t>
      </w:r>
      <w:r>
        <w:rPr>
          <w:i/>
          <w:color w:val="0000FF"/>
        </w:rPr>
        <w:t xml:space="preserve">. The </w:t>
      </w:r>
      <w:r>
        <w:rPr>
          <w:b/>
          <w:i/>
          <w:color w:val="0000FF"/>
        </w:rPr>
        <w:t>Max Loss is limited</w:t>
      </w:r>
      <w:r>
        <w:rPr>
          <w:i/>
          <w:color w:val="0000FF"/>
        </w:rPr>
        <w:t xml:space="preserve"> to the premium paid for the put option. The </w:t>
      </w:r>
      <w:r>
        <w:rPr>
          <w:b/>
          <w:i/>
          <w:color w:val="0000FF"/>
        </w:rPr>
        <w:t>Max Gain is uncapped</w:t>
      </w:r>
      <w:r>
        <w:rPr>
          <w:i/>
          <w:color w:val="0000FF"/>
        </w:rPr>
        <w:t xml:space="preserve"> as the underlying instrument rises.</w:t>
      </w:r>
    </w:p>
    <w:p w14:paraId="00056E42" w14:textId="77777777" w:rsidR="00817C1B" w:rsidRDefault="00817C1B">
      <w:pPr>
        <w:jc w:val="both"/>
        <w:rPr>
          <w:i/>
          <w:color w:val="0000FF"/>
        </w:rPr>
      </w:pPr>
    </w:p>
    <w:p w14:paraId="6B639D09" w14:textId="77777777" w:rsidR="00817C1B" w:rsidRDefault="00392EBA">
      <w:pPr>
        <w:jc w:val="center"/>
        <w:rPr>
          <w:color w:val="38761D"/>
        </w:rPr>
      </w:pPr>
      <w:r>
        <w:rPr>
          <w:noProof/>
          <w:color w:val="38761D"/>
        </w:rPr>
        <w:drawing>
          <wp:inline distT="114300" distB="114300" distL="114300" distR="114300" wp14:anchorId="38E35760" wp14:editId="049BCDAD">
            <wp:extent cx="6096000" cy="3371850"/>
            <wp:effectExtent l="0" t="0" r="0" b="0"/>
            <wp:docPr id="134" name="image123.png"/>
            <wp:cNvGraphicFramePr/>
            <a:graphic xmlns:a="http://schemas.openxmlformats.org/drawingml/2006/main">
              <a:graphicData uri="http://schemas.openxmlformats.org/drawingml/2006/picture">
                <pic:pic xmlns:pic="http://schemas.openxmlformats.org/drawingml/2006/picture">
                  <pic:nvPicPr>
                    <pic:cNvPr id="0" name="image123.png"/>
                    <pic:cNvPicPr preferRelativeResize="0"/>
                  </pic:nvPicPr>
                  <pic:blipFill>
                    <a:blip r:embed="rId8"/>
                    <a:srcRect/>
                    <a:stretch>
                      <a:fillRect/>
                    </a:stretch>
                  </pic:blipFill>
                  <pic:spPr>
                    <a:xfrm>
                      <a:off x="0" y="0"/>
                      <a:ext cx="6096000" cy="3371850"/>
                    </a:xfrm>
                    <a:prstGeom prst="rect">
                      <a:avLst/>
                    </a:prstGeom>
                    <a:ln/>
                  </pic:spPr>
                </pic:pic>
              </a:graphicData>
            </a:graphic>
          </wp:inline>
        </w:drawing>
      </w:r>
    </w:p>
    <w:p w14:paraId="678C51E9" w14:textId="77777777" w:rsidR="00817C1B" w:rsidRDefault="00392EBA">
      <w:pPr>
        <w:jc w:val="center"/>
        <w:rPr>
          <w:color w:val="38761D"/>
        </w:rPr>
      </w:pPr>
      <w:r>
        <w:rPr>
          <w:noProof/>
          <w:color w:val="38761D"/>
        </w:rPr>
        <w:drawing>
          <wp:inline distT="114300" distB="114300" distL="114300" distR="114300" wp14:anchorId="682E2A7B" wp14:editId="4E209935">
            <wp:extent cx="5860688" cy="1211737"/>
            <wp:effectExtent l="0" t="0" r="0" b="0"/>
            <wp:docPr id="101" name="image97.png"/>
            <wp:cNvGraphicFramePr/>
            <a:graphic xmlns:a="http://schemas.openxmlformats.org/drawingml/2006/main">
              <a:graphicData uri="http://schemas.openxmlformats.org/drawingml/2006/picture">
                <pic:pic xmlns:pic="http://schemas.openxmlformats.org/drawingml/2006/picture">
                  <pic:nvPicPr>
                    <pic:cNvPr id="0" name="image97.png"/>
                    <pic:cNvPicPr preferRelativeResize="0"/>
                  </pic:nvPicPr>
                  <pic:blipFill>
                    <a:blip r:embed="rId9"/>
                    <a:srcRect/>
                    <a:stretch>
                      <a:fillRect/>
                    </a:stretch>
                  </pic:blipFill>
                  <pic:spPr>
                    <a:xfrm>
                      <a:off x="0" y="0"/>
                      <a:ext cx="5860688" cy="1211737"/>
                    </a:xfrm>
                    <a:prstGeom prst="rect">
                      <a:avLst/>
                    </a:prstGeom>
                    <a:ln/>
                  </pic:spPr>
                </pic:pic>
              </a:graphicData>
            </a:graphic>
          </wp:inline>
        </w:drawing>
      </w:r>
    </w:p>
    <w:p w14:paraId="0D2F5826" w14:textId="77777777" w:rsidR="00817C1B" w:rsidRDefault="00817C1B">
      <w:pPr>
        <w:rPr>
          <w:i/>
          <w:color w:val="0000FF"/>
          <w:sz w:val="24"/>
          <w:szCs w:val="24"/>
        </w:rPr>
      </w:pPr>
    </w:p>
    <w:p w14:paraId="6C5570FC" w14:textId="77777777" w:rsidR="00817C1B" w:rsidRDefault="00392EBA">
      <w:pPr>
        <w:rPr>
          <w:i/>
          <w:color w:val="0000FF"/>
          <w:sz w:val="24"/>
          <w:szCs w:val="24"/>
        </w:rPr>
      </w:pPr>
      <w:r>
        <w:br w:type="page"/>
      </w:r>
    </w:p>
    <w:p w14:paraId="24DC62D1" w14:textId="77777777" w:rsidR="00817C1B" w:rsidRDefault="00392EBA">
      <w:pPr>
        <w:rPr>
          <w:i/>
          <w:color w:val="0000FF"/>
          <w:sz w:val="24"/>
          <w:szCs w:val="24"/>
        </w:rPr>
      </w:pPr>
      <w:r>
        <w:rPr>
          <w:i/>
          <w:color w:val="0000FF"/>
          <w:sz w:val="24"/>
          <w:szCs w:val="24"/>
        </w:rPr>
        <w:lastRenderedPageBreak/>
        <w:t>Characteristics</w:t>
      </w:r>
    </w:p>
    <w:p w14:paraId="35C7BBBA" w14:textId="77777777" w:rsidR="00817C1B" w:rsidRDefault="00392EBA">
      <w:pPr>
        <w:jc w:val="both"/>
        <w:rPr>
          <w:i/>
          <w:color w:val="0000FF"/>
        </w:rPr>
      </w:pPr>
      <w:r>
        <w:rPr>
          <w:i/>
          <w:color w:val="0000FF"/>
        </w:rPr>
        <w:br/>
        <w:t xml:space="preserve">When to use: When </w:t>
      </w:r>
      <w:r>
        <w:rPr>
          <w:i/>
          <w:color w:val="0000FF"/>
        </w:rPr>
        <w:t xml:space="preserve">you are </w:t>
      </w:r>
      <w:r>
        <w:rPr>
          <w:b/>
          <w:i/>
          <w:color w:val="0000FF"/>
        </w:rPr>
        <w:t>long stock and want to protect yourself against a market correction</w:t>
      </w:r>
      <w:r>
        <w:rPr>
          <w:i/>
          <w:color w:val="0000FF"/>
        </w:rPr>
        <w:t>.</w:t>
      </w:r>
    </w:p>
    <w:p w14:paraId="4A799334" w14:textId="77777777" w:rsidR="00817C1B" w:rsidRDefault="00392EBA">
      <w:pPr>
        <w:jc w:val="both"/>
        <w:rPr>
          <w:i/>
          <w:color w:val="0000FF"/>
        </w:rPr>
      </w:pPr>
      <w:r>
        <w:rPr>
          <w:i/>
          <w:color w:val="0000FF"/>
        </w:rPr>
        <w:br/>
        <w:t xml:space="preserve">A Protective Put strategy has a very </w:t>
      </w:r>
      <w:r>
        <w:rPr>
          <w:b/>
          <w:i/>
          <w:color w:val="0000FF"/>
        </w:rPr>
        <w:t>similar pay off profile to the Long Call</w:t>
      </w:r>
      <w:r>
        <w:rPr>
          <w:i/>
          <w:color w:val="0000FF"/>
        </w:rPr>
        <w:t xml:space="preserve">. You </w:t>
      </w:r>
      <w:r>
        <w:rPr>
          <w:b/>
          <w:i/>
          <w:color w:val="0000FF"/>
        </w:rPr>
        <w:t>maximum loss is limited to the premium paid for the option and you have an unlimited profit pot</w:t>
      </w:r>
      <w:r>
        <w:rPr>
          <w:b/>
          <w:i/>
          <w:color w:val="0000FF"/>
        </w:rPr>
        <w:t>ential</w:t>
      </w:r>
      <w:r>
        <w:rPr>
          <w:i/>
          <w:color w:val="0000FF"/>
        </w:rPr>
        <w:t>.</w:t>
      </w:r>
    </w:p>
    <w:p w14:paraId="35111A6B" w14:textId="77777777" w:rsidR="00817C1B" w:rsidRDefault="00392EBA">
      <w:pPr>
        <w:jc w:val="both"/>
        <w:rPr>
          <w:b/>
          <w:i/>
          <w:color w:val="0000FF"/>
        </w:rPr>
      </w:pPr>
      <w:r>
        <w:rPr>
          <w:i/>
          <w:color w:val="0000FF"/>
        </w:rPr>
        <w:br/>
        <w:t xml:space="preserve">Protective Puts are </w:t>
      </w:r>
      <w:r>
        <w:rPr>
          <w:b/>
          <w:i/>
          <w:color w:val="0000FF"/>
        </w:rPr>
        <w:t>ideal for investors who are very risk averse</w:t>
      </w:r>
      <w:r>
        <w:rPr>
          <w:i/>
          <w:color w:val="0000FF"/>
        </w:rPr>
        <w:t xml:space="preserve">, i.e. they hold stock and are concerned about a stock market correction. So, </w:t>
      </w:r>
      <w:r>
        <w:rPr>
          <w:b/>
          <w:i/>
          <w:color w:val="0000FF"/>
        </w:rPr>
        <w:t>if the market does sell off rapidly, the value of the put options that the trader holds will increase whi</w:t>
      </w:r>
      <w:r>
        <w:rPr>
          <w:b/>
          <w:i/>
          <w:color w:val="0000FF"/>
        </w:rPr>
        <w:t xml:space="preserve">le the value of the stock will decrease. If the combined position is hedged then the profits of the put options will offset the losses of the stock and all the investor will </w:t>
      </w:r>
      <w:proofErr w:type="spellStart"/>
      <w:r>
        <w:rPr>
          <w:b/>
          <w:i/>
          <w:color w:val="0000FF"/>
        </w:rPr>
        <w:t>loose</w:t>
      </w:r>
      <w:proofErr w:type="spellEnd"/>
      <w:r>
        <w:rPr>
          <w:b/>
          <w:i/>
          <w:color w:val="0000FF"/>
        </w:rPr>
        <w:t xml:space="preserve"> will be the premium paid.</w:t>
      </w:r>
    </w:p>
    <w:p w14:paraId="6C2F3D41" w14:textId="77777777" w:rsidR="00817C1B" w:rsidRDefault="00392EBA">
      <w:pPr>
        <w:jc w:val="both"/>
        <w:rPr>
          <w:b/>
          <w:i/>
          <w:color w:val="0000FF"/>
        </w:rPr>
      </w:pPr>
      <w:r>
        <w:rPr>
          <w:i/>
          <w:color w:val="0000FF"/>
        </w:rPr>
        <w:br/>
        <w:t>However,</w:t>
      </w:r>
      <w:r>
        <w:rPr>
          <w:b/>
          <w:i/>
          <w:color w:val="0000FF"/>
        </w:rPr>
        <w:t xml:space="preserve"> if the market rises substantially past t</w:t>
      </w:r>
      <w:r>
        <w:rPr>
          <w:b/>
          <w:i/>
          <w:color w:val="0000FF"/>
        </w:rPr>
        <w:t>he exercise price of the put options, then the puts will expire worthless while the stock position increases. But, the loss of the put position is limited, while the profits gained from the increase in the stock position are unlimited. So, in this case the</w:t>
      </w:r>
      <w:r>
        <w:rPr>
          <w:b/>
          <w:i/>
          <w:color w:val="0000FF"/>
        </w:rPr>
        <w:t xml:space="preserve"> losses of the put option and the gains form the stock do not offset each other: the profits gained from the increase in the underlying out weight the loss sustained from the put option premium.</w:t>
      </w:r>
    </w:p>
    <w:p w14:paraId="6B4DE444" w14:textId="77777777" w:rsidR="00817C1B" w:rsidRDefault="00817C1B">
      <w:pPr>
        <w:rPr>
          <w:i/>
          <w:color w:val="0000FF"/>
          <w:sz w:val="24"/>
          <w:szCs w:val="24"/>
        </w:rPr>
      </w:pPr>
    </w:p>
    <w:p w14:paraId="263AF612" w14:textId="77777777" w:rsidR="00817C1B" w:rsidRDefault="00817C1B">
      <w:pPr>
        <w:rPr>
          <w:i/>
          <w:color w:val="0000FF"/>
          <w:sz w:val="24"/>
          <w:szCs w:val="24"/>
        </w:rPr>
      </w:pPr>
    </w:p>
    <w:p w14:paraId="3EFEE3A3" w14:textId="77777777" w:rsidR="00817C1B" w:rsidRDefault="00392EBA">
      <w:pPr>
        <w:rPr>
          <w:color w:val="38761D"/>
        </w:rPr>
      </w:pPr>
      <w:r>
        <w:rPr>
          <w:i/>
          <w:color w:val="0000FF"/>
          <w:sz w:val="24"/>
          <w:szCs w:val="24"/>
        </w:rPr>
        <w:t>Protective Put Greeks</w:t>
      </w:r>
      <w:r>
        <w:rPr>
          <w:color w:val="38761D"/>
        </w:rPr>
        <w:br/>
      </w:r>
    </w:p>
    <w:p w14:paraId="536FA88C" w14:textId="77777777" w:rsidR="00817C1B" w:rsidRDefault="00392EBA">
      <w:pPr>
        <w:rPr>
          <w:color w:val="38761D"/>
        </w:rPr>
      </w:pPr>
      <w:r>
        <w:rPr>
          <w:color w:val="38761D"/>
        </w:rPr>
        <w:t>Delta</w:t>
      </w:r>
    </w:p>
    <w:p w14:paraId="7DA1F5DF" w14:textId="77777777" w:rsidR="00817C1B" w:rsidRDefault="00392EBA">
      <w:pPr>
        <w:rPr>
          <w:color w:val="38761D"/>
        </w:rPr>
      </w:pPr>
      <w:r>
        <w:rPr>
          <w:noProof/>
          <w:color w:val="38761D"/>
        </w:rPr>
        <w:drawing>
          <wp:inline distT="114300" distB="114300" distL="114300" distR="114300" wp14:anchorId="53A26F01" wp14:editId="198950A8">
            <wp:extent cx="7052400" cy="1879600"/>
            <wp:effectExtent l="0" t="0" r="0" b="0"/>
            <wp:docPr id="120" name="image125.png"/>
            <wp:cNvGraphicFramePr/>
            <a:graphic xmlns:a="http://schemas.openxmlformats.org/drawingml/2006/main">
              <a:graphicData uri="http://schemas.openxmlformats.org/drawingml/2006/picture">
                <pic:pic xmlns:pic="http://schemas.openxmlformats.org/drawingml/2006/picture">
                  <pic:nvPicPr>
                    <pic:cNvPr id="0" name="image125.png"/>
                    <pic:cNvPicPr preferRelativeResize="0"/>
                  </pic:nvPicPr>
                  <pic:blipFill>
                    <a:blip r:embed="rId10"/>
                    <a:srcRect/>
                    <a:stretch>
                      <a:fillRect/>
                    </a:stretch>
                  </pic:blipFill>
                  <pic:spPr>
                    <a:xfrm>
                      <a:off x="0" y="0"/>
                      <a:ext cx="7052400" cy="1879600"/>
                    </a:xfrm>
                    <a:prstGeom prst="rect">
                      <a:avLst/>
                    </a:prstGeom>
                    <a:ln/>
                  </pic:spPr>
                </pic:pic>
              </a:graphicData>
            </a:graphic>
          </wp:inline>
        </w:drawing>
      </w:r>
    </w:p>
    <w:p w14:paraId="4962653F" w14:textId="77777777" w:rsidR="00817C1B" w:rsidRDefault="00817C1B">
      <w:pPr>
        <w:rPr>
          <w:color w:val="38761D"/>
        </w:rPr>
      </w:pPr>
    </w:p>
    <w:p w14:paraId="5ED2F7D4" w14:textId="77777777" w:rsidR="00817C1B" w:rsidRDefault="00392EBA">
      <w:pPr>
        <w:rPr>
          <w:color w:val="38761D"/>
        </w:rPr>
      </w:pPr>
      <w:r>
        <w:rPr>
          <w:color w:val="38761D"/>
        </w:rPr>
        <w:t>Gamma</w:t>
      </w:r>
    </w:p>
    <w:p w14:paraId="5E7A66F7" w14:textId="77777777" w:rsidR="00817C1B" w:rsidRDefault="00392EBA">
      <w:pPr>
        <w:rPr>
          <w:color w:val="38761D"/>
        </w:rPr>
      </w:pPr>
      <w:r>
        <w:rPr>
          <w:noProof/>
          <w:color w:val="38761D"/>
        </w:rPr>
        <w:drawing>
          <wp:inline distT="114300" distB="114300" distL="114300" distR="114300" wp14:anchorId="43E807F6" wp14:editId="3786346C">
            <wp:extent cx="7052400" cy="1892300"/>
            <wp:effectExtent l="0" t="0" r="0" b="0"/>
            <wp:docPr id="1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7052400" cy="1892300"/>
                    </a:xfrm>
                    <a:prstGeom prst="rect">
                      <a:avLst/>
                    </a:prstGeom>
                    <a:ln/>
                  </pic:spPr>
                </pic:pic>
              </a:graphicData>
            </a:graphic>
          </wp:inline>
        </w:drawing>
      </w:r>
    </w:p>
    <w:p w14:paraId="18CD019A" w14:textId="77777777" w:rsidR="00817C1B" w:rsidRDefault="00392EBA">
      <w:pPr>
        <w:rPr>
          <w:color w:val="38761D"/>
        </w:rPr>
      </w:pPr>
      <w:r>
        <w:br w:type="page"/>
      </w:r>
    </w:p>
    <w:p w14:paraId="0BC32BB1" w14:textId="77777777" w:rsidR="00817C1B" w:rsidRDefault="00392EBA">
      <w:pPr>
        <w:rPr>
          <w:color w:val="38761D"/>
        </w:rPr>
      </w:pPr>
      <w:r>
        <w:rPr>
          <w:color w:val="38761D"/>
        </w:rPr>
        <w:lastRenderedPageBreak/>
        <w:t>Vega</w:t>
      </w:r>
    </w:p>
    <w:p w14:paraId="596FE85C" w14:textId="77777777" w:rsidR="00817C1B" w:rsidRDefault="00392EBA">
      <w:pPr>
        <w:rPr>
          <w:color w:val="38761D"/>
        </w:rPr>
      </w:pPr>
      <w:r>
        <w:rPr>
          <w:noProof/>
          <w:color w:val="38761D"/>
        </w:rPr>
        <w:drawing>
          <wp:inline distT="114300" distB="114300" distL="114300" distR="114300" wp14:anchorId="3295D4B9" wp14:editId="390E8D9B">
            <wp:extent cx="7052400" cy="1905000"/>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2"/>
                    <a:srcRect/>
                    <a:stretch>
                      <a:fillRect/>
                    </a:stretch>
                  </pic:blipFill>
                  <pic:spPr>
                    <a:xfrm>
                      <a:off x="0" y="0"/>
                      <a:ext cx="7052400" cy="1905000"/>
                    </a:xfrm>
                    <a:prstGeom prst="rect">
                      <a:avLst/>
                    </a:prstGeom>
                    <a:ln/>
                  </pic:spPr>
                </pic:pic>
              </a:graphicData>
            </a:graphic>
          </wp:inline>
        </w:drawing>
      </w:r>
    </w:p>
    <w:p w14:paraId="35320111" w14:textId="77777777" w:rsidR="00817C1B" w:rsidRDefault="00817C1B">
      <w:pPr>
        <w:rPr>
          <w:color w:val="38761D"/>
        </w:rPr>
      </w:pPr>
    </w:p>
    <w:p w14:paraId="5A5FB560" w14:textId="77777777" w:rsidR="00817C1B" w:rsidRDefault="00392EBA">
      <w:pPr>
        <w:rPr>
          <w:color w:val="38761D"/>
        </w:rPr>
      </w:pPr>
      <w:r>
        <w:rPr>
          <w:color w:val="38761D"/>
        </w:rPr>
        <w:t>Theta</w:t>
      </w:r>
    </w:p>
    <w:p w14:paraId="24BE19AA" w14:textId="77777777" w:rsidR="00817C1B" w:rsidRDefault="00392EBA">
      <w:pPr>
        <w:rPr>
          <w:color w:val="38761D"/>
        </w:rPr>
      </w:pPr>
      <w:r>
        <w:rPr>
          <w:noProof/>
          <w:color w:val="38761D"/>
        </w:rPr>
        <w:drawing>
          <wp:inline distT="114300" distB="114300" distL="114300" distR="114300" wp14:anchorId="7E5B4953" wp14:editId="0F18E313">
            <wp:extent cx="7052400" cy="1905000"/>
            <wp:effectExtent l="0" t="0" r="0" b="0"/>
            <wp:docPr id="18"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13"/>
                    <a:srcRect/>
                    <a:stretch>
                      <a:fillRect/>
                    </a:stretch>
                  </pic:blipFill>
                  <pic:spPr>
                    <a:xfrm>
                      <a:off x="0" y="0"/>
                      <a:ext cx="7052400" cy="1905000"/>
                    </a:xfrm>
                    <a:prstGeom prst="rect">
                      <a:avLst/>
                    </a:prstGeom>
                    <a:ln/>
                  </pic:spPr>
                </pic:pic>
              </a:graphicData>
            </a:graphic>
          </wp:inline>
        </w:drawing>
      </w:r>
    </w:p>
    <w:p w14:paraId="2BEB56EA" w14:textId="77777777" w:rsidR="00817C1B" w:rsidRDefault="00817C1B">
      <w:pPr>
        <w:jc w:val="both"/>
        <w:rPr>
          <w:b/>
          <w:color w:val="FF0000"/>
          <w:sz w:val="28"/>
          <w:szCs w:val="28"/>
        </w:rPr>
      </w:pPr>
    </w:p>
    <w:p w14:paraId="7E7225C5" w14:textId="77777777" w:rsidR="00817C1B" w:rsidRDefault="00817C1B">
      <w:pPr>
        <w:jc w:val="both"/>
        <w:rPr>
          <w:b/>
          <w:color w:val="FF0000"/>
          <w:sz w:val="28"/>
          <w:szCs w:val="28"/>
        </w:rPr>
      </w:pPr>
    </w:p>
    <w:p w14:paraId="7C2003CE" w14:textId="77777777" w:rsidR="00817C1B" w:rsidRDefault="00392EBA">
      <w:pPr>
        <w:jc w:val="both"/>
        <w:rPr>
          <w:b/>
          <w:color w:val="FF0000"/>
          <w:sz w:val="28"/>
          <w:szCs w:val="28"/>
        </w:rPr>
      </w:pPr>
      <w:r>
        <w:rPr>
          <w:b/>
          <w:color w:val="FF0000"/>
          <w:sz w:val="28"/>
          <w:szCs w:val="28"/>
        </w:rPr>
        <w:t>Previous Expectations</w:t>
      </w:r>
    </w:p>
    <w:p w14:paraId="733EDECF" w14:textId="77777777" w:rsidR="00817C1B" w:rsidRDefault="00817C1B">
      <w:pPr>
        <w:jc w:val="both"/>
      </w:pPr>
    </w:p>
    <w:p w14:paraId="4DF69778" w14:textId="77777777" w:rsidR="00817C1B" w:rsidRDefault="00392EBA">
      <w:pPr>
        <w:jc w:val="both"/>
        <w:rPr>
          <w:i/>
          <w:color w:val="0000FF"/>
        </w:rPr>
      </w:pPr>
      <w:r>
        <w:rPr>
          <w:i/>
          <w:color w:val="0000FF"/>
        </w:rPr>
        <w:t xml:space="preserve">‘At first, after taking a look at Chart 1 and Table 1, we </w:t>
      </w:r>
      <w:r>
        <w:rPr>
          <w:b/>
          <w:i/>
          <w:color w:val="0000FF"/>
        </w:rPr>
        <w:t>should not have excessive expectations with regard to the profitability (CAGR) of this insurance strategy</w:t>
      </w:r>
      <w:r>
        <w:rPr>
          <w:i/>
          <w:color w:val="0000FF"/>
        </w:rPr>
        <w:t xml:space="preserve">: </w:t>
      </w:r>
      <w:r>
        <w:rPr>
          <w:b/>
          <w:i/>
          <w:color w:val="0000FF"/>
        </w:rPr>
        <w:t>QQQ has moved up about +240%</w:t>
      </w:r>
      <w:r>
        <w:rPr>
          <w:i/>
          <w:color w:val="0000FF"/>
        </w:rPr>
        <w:t xml:space="preserve"> in the examined period (from 2011-03-23 until 2018-08-31) </w:t>
      </w:r>
      <w:r>
        <w:rPr>
          <w:b/>
          <w:i/>
          <w:color w:val="0000FF"/>
        </w:rPr>
        <w:t>without really significant corrections</w:t>
      </w:r>
      <w:r>
        <w:rPr>
          <w:i/>
          <w:color w:val="0000FF"/>
        </w:rPr>
        <w:t xml:space="preserve"> (maximum drawdown is on</w:t>
      </w:r>
      <w:r>
        <w:rPr>
          <w:i/>
          <w:color w:val="0000FF"/>
        </w:rPr>
        <w:t xml:space="preserve">ly 16.36%). And since it is an ‘insurance strategy’, </w:t>
      </w:r>
      <w:r>
        <w:rPr>
          <w:b/>
          <w:i/>
          <w:color w:val="0000FF"/>
        </w:rPr>
        <w:t>it is expected to perform better in ‘difficult times’</w:t>
      </w:r>
      <w:r>
        <w:rPr>
          <w:i/>
          <w:color w:val="0000FF"/>
        </w:rPr>
        <w:t xml:space="preserve">. However, a </w:t>
      </w:r>
      <w:r>
        <w:rPr>
          <w:b/>
          <w:i/>
          <w:color w:val="0000FF"/>
        </w:rPr>
        <w:t>slight improvement in the Sharpe ratio or MAR ratio might not be beyond hope.</w:t>
      </w:r>
    </w:p>
    <w:p w14:paraId="081DC292" w14:textId="77777777" w:rsidR="00817C1B" w:rsidRDefault="00817C1B">
      <w:pPr>
        <w:jc w:val="both"/>
        <w:rPr>
          <w:i/>
          <w:color w:val="0000FF"/>
        </w:rPr>
      </w:pPr>
    </w:p>
    <w:p w14:paraId="78BE04B2" w14:textId="77777777" w:rsidR="00817C1B" w:rsidRDefault="00392EBA">
      <w:pPr>
        <w:spacing w:after="80" w:line="273" w:lineRule="auto"/>
        <w:jc w:val="both"/>
        <w:rPr>
          <w:b/>
          <w:i/>
          <w:color w:val="0000FF"/>
        </w:rPr>
      </w:pPr>
      <w:r>
        <w:rPr>
          <w:i/>
          <w:color w:val="0000FF"/>
        </w:rPr>
        <w:t>With regard to the optimal maturity, it is difficult to pr</w:t>
      </w:r>
      <w:r>
        <w:rPr>
          <w:i/>
          <w:color w:val="0000FF"/>
        </w:rPr>
        <w:t xml:space="preserve">edict anything. </w:t>
      </w:r>
      <w:r>
        <w:rPr>
          <w:b/>
          <w:i/>
          <w:color w:val="0000FF"/>
        </w:rPr>
        <w:t>Someone may expect these:</w:t>
      </w:r>
    </w:p>
    <w:p w14:paraId="2CC72091" w14:textId="77777777" w:rsidR="00817C1B" w:rsidRDefault="00392EBA">
      <w:pPr>
        <w:numPr>
          <w:ilvl w:val="0"/>
          <w:numId w:val="2"/>
        </w:numPr>
        <w:jc w:val="both"/>
        <w:rPr>
          <w:i/>
          <w:color w:val="0000FF"/>
        </w:rPr>
      </w:pPr>
      <w:r>
        <w:rPr>
          <w:b/>
          <w:i/>
          <w:color w:val="0000FF"/>
        </w:rPr>
        <w:t>The disadvantage of the shortly expiring (1-2-month maturity) options:</w:t>
      </w:r>
    </w:p>
    <w:p w14:paraId="6E3936E9" w14:textId="77777777" w:rsidR="00817C1B" w:rsidRDefault="00392EBA">
      <w:pPr>
        <w:numPr>
          <w:ilvl w:val="1"/>
          <w:numId w:val="2"/>
        </w:numPr>
        <w:spacing w:after="100" w:line="273" w:lineRule="auto"/>
        <w:jc w:val="both"/>
        <w:rPr>
          <w:i/>
          <w:color w:val="0000FF"/>
        </w:rPr>
      </w:pPr>
      <w:r>
        <w:rPr>
          <w:b/>
          <w:i/>
          <w:color w:val="0000FF"/>
        </w:rPr>
        <w:t xml:space="preserve">Time Value erosion (Theta): short-term options could be the more expensive because Time Value erosion (Theta) is the most in the last month of </w:t>
      </w:r>
      <w:r>
        <w:rPr>
          <w:b/>
          <w:i/>
          <w:color w:val="0000FF"/>
        </w:rPr>
        <w:t>the life of the option (Looking at the Theta lines in the previous charts showing the option Greeks we can conclude that as of theta-wise, the option with 3 days to expiration is much more expensive than the 30 days to expiration).</w:t>
      </w:r>
    </w:p>
    <w:p w14:paraId="23FC797D" w14:textId="77777777" w:rsidR="00817C1B" w:rsidRDefault="00392EBA">
      <w:pPr>
        <w:numPr>
          <w:ilvl w:val="0"/>
          <w:numId w:val="2"/>
        </w:numPr>
        <w:jc w:val="both"/>
        <w:rPr>
          <w:i/>
          <w:color w:val="0000FF"/>
        </w:rPr>
      </w:pPr>
      <w:r>
        <w:rPr>
          <w:b/>
          <w:i/>
          <w:color w:val="0000FF"/>
        </w:rPr>
        <w:t>The advantage of the sho</w:t>
      </w:r>
      <w:r>
        <w:rPr>
          <w:b/>
          <w:i/>
          <w:color w:val="0000FF"/>
        </w:rPr>
        <w:t>rtly expiring (1-2-month maturity) options:</w:t>
      </w:r>
    </w:p>
    <w:p w14:paraId="27CD792B" w14:textId="77777777" w:rsidR="00817C1B" w:rsidRDefault="00392EBA">
      <w:pPr>
        <w:numPr>
          <w:ilvl w:val="1"/>
          <w:numId w:val="2"/>
        </w:numPr>
        <w:spacing w:after="40" w:line="273" w:lineRule="auto"/>
        <w:jc w:val="both"/>
        <w:rPr>
          <w:i/>
          <w:color w:val="0000FF"/>
        </w:rPr>
      </w:pPr>
      <w:r>
        <w:rPr>
          <w:b/>
          <w:i/>
          <w:color w:val="0000FF"/>
        </w:rPr>
        <w:t>More frequent rebalance (thus the temporary profit on the Put option from small panicky corrections can be locked in);</w:t>
      </w:r>
    </w:p>
    <w:p w14:paraId="10AE2869" w14:textId="77777777" w:rsidR="00817C1B" w:rsidRDefault="00392EBA">
      <w:pPr>
        <w:numPr>
          <w:ilvl w:val="1"/>
          <w:numId w:val="2"/>
        </w:numPr>
        <w:spacing w:after="40" w:line="273" w:lineRule="auto"/>
        <w:jc w:val="both"/>
        <w:rPr>
          <w:i/>
          <w:color w:val="0000FF"/>
        </w:rPr>
      </w:pPr>
      <w:r>
        <w:rPr>
          <w:b/>
          <w:i/>
          <w:color w:val="0000FF"/>
        </w:rPr>
        <w:t>Less tied up (risked) capital (because the price of the long-term Put is more than the short-</w:t>
      </w:r>
      <w:r>
        <w:rPr>
          <w:b/>
          <w:i/>
          <w:color w:val="0000FF"/>
        </w:rPr>
        <w:t>term one);</w:t>
      </w:r>
    </w:p>
    <w:p w14:paraId="04510A0E" w14:textId="77777777" w:rsidR="00817C1B" w:rsidRDefault="00392EBA">
      <w:pPr>
        <w:numPr>
          <w:ilvl w:val="1"/>
          <w:numId w:val="2"/>
        </w:numPr>
        <w:spacing w:after="40" w:line="273" w:lineRule="auto"/>
        <w:jc w:val="both"/>
        <w:rPr>
          <w:i/>
          <w:color w:val="0000FF"/>
        </w:rPr>
      </w:pPr>
      <w:r>
        <w:rPr>
          <w:b/>
          <w:i/>
          <w:color w:val="0000FF"/>
        </w:rPr>
        <w:lastRenderedPageBreak/>
        <w:t>Long-term options have higher delta when the option is already OTM, thus the erosion of the option price is higher when the price of the underlying increases.</w:t>
      </w:r>
    </w:p>
    <w:p w14:paraId="33FB809F" w14:textId="77777777" w:rsidR="00817C1B" w:rsidRDefault="00817C1B">
      <w:pPr>
        <w:jc w:val="both"/>
        <w:rPr>
          <w:i/>
          <w:color w:val="0000FF"/>
        </w:rPr>
      </w:pPr>
    </w:p>
    <w:p w14:paraId="52821CD1" w14:textId="77777777" w:rsidR="00817C1B" w:rsidRDefault="00392EBA">
      <w:pPr>
        <w:jc w:val="both"/>
        <w:rPr>
          <w:b/>
          <w:i/>
          <w:color w:val="0000FF"/>
        </w:rPr>
      </w:pPr>
      <w:r>
        <w:rPr>
          <w:i/>
          <w:color w:val="0000FF"/>
        </w:rPr>
        <w:t xml:space="preserve">All these thought are confirmed by Chart 2, where the QQQ put option chains at close </w:t>
      </w:r>
      <w:r>
        <w:rPr>
          <w:i/>
          <w:color w:val="0000FF"/>
        </w:rPr>
        <w:t xml:space="preserve">on 2018-09-07 can be seen. Furthermore, it can be seen that the </w:t>
      </w:r>
      <w:r>
        <w:rPr>
          <w:b/>
          <w:i/>
          <w:color w:val="0000FF"/>
        </w:rPr>
        <w:t>IV (implied volatility - 0.168) is not significantly higher than the HV (historical volatility - 0.165)</w:t>
      </w:r>
      <w:r>
        <w:rPr>
          <w:i/>
          <w:color w:val="0000FF"/>
        </w:rPr>
        <w:t>, which is a prerequisite for a profitable long option strategy. Looking at the data in C</w:t>
      </w:r>
      <w:r>
        <w:rPr>
          <w:i/>
          <w:color w:val="0000FF"/>
        </w:rPr>
        <w:t xml:space="preserve">hart 2 a bit more closely, it can be concluded that </w:t>
      </w:r>
      <w:r>
        <w:rPr>
          <w:b/>
          <w:i/>
          <w:color w:val="0000FF"/>
        </w:rPr>
        <w:t xml:space="preserve">any put option buying protection strategy could perform well in case of highly volatile (in which case the 'Put option' part earns money) and/or trending market (in an </w:t>
      </w:r>
      <w:proofErr w:type="spellStart"/>
      <w:r>
        <w:rPr>
          <w:b/>
          <w:i/>
          <w:color w:val="0000FF"/>
        </w:rPr>
        <w:t>uptrending</w:t>
      </w:r>
      <w:proofErr w:type="spellEnd"/>
      <w:r>
        <w:rPr>
          <w:b/>
          <w:i/>
          <w:color w:val="0000FF"/>
        </w:rPr>
        <w:t xml:space="preserve"> market the 'stock' part e</w:t>
      </w:r>
      <w:r>
        <w:rPr>
          <w:b/>
          <w:i/>
          <w:color w:val="0000FF"/>
        </w:rPr>
        <w:t>arns significant money) but do awfully in case of sideways market (when the stock part doesn't earn money and the 'Put option' part loses money).</w:t>
      </w:r>
      <w:r>
        <w:rPr>
          <w:i/>
          <w:color w:val="0000FF"/>
        </w:rPr>
        <w:t xml:space="preserve"> Fortunately, looking at Chart 1 again,</w:t>
      </w:r>
      <w:r>
        <w:rPr>
          <w:b/>
          <w:i/>
          <w:color w:val="0000FF"/>
        </w:rPr>
        <w:t xml:space="preserve"> from 2011 to 2018, typically QQQ was mean-reverting (therefore moderate</w:t>
      </w:r>
      <w:r>
        <w:rPr>
          <w:b/>
          <w:i/>
          <w:color w:val="0000FF"/>
        </w:rPr>
        <w:t>ly volatile) in short-term and trend following in long-term. It should be true most of the time outside of this examined period as well</w:t>
      </w:r>
      <w:r>
        <w:rPr>
          <w:i/>
          <w:color w:val="0000FF"/>
        </w:rPr>
        <w:t>.</w:t>
      </w:r>
    </w:p>
    <w:p w14:paraId="64985B96" w14:textId="77777777" w:rsidR="00817C1B" w:rsidRDefault="00817C1B">
      <w:pPr>
        <w:jc w:val="both"/>
        <w:rPr>
          <w:i/>
          <w:color w:val="0000FF"/>
        </w:rPr>
      </w:pPr>
    </w:p>
    <w:p w14:paraId="43FE6548" w14:textId="77777777" w:rsidR="00817C1B" w:rsidRDefault="00392EBA">
      <w:pPr>
        <w:jc w:val="both"/>
        <w:rPr>
          <w:i/>
          <w:color w:val="0000FF"/>
        </w:rPr>
      </w:pPr>
      <w:r>
        <w:rPr>
          <w:i/>
          <w:color w:val="0000FF"/>
        </w:rPr>
        <w:t xml:space="preserve">Based on all of the above mentioned thoughts and findings, </w:t>
      </w:r>
      <w:r>
        <w:rPr>
          <w:b/>
          <w:i/>
          <w:color w:val="0000FF"/>
        </w:rPr>
        <w:t xml:space="preserve">we expect that this strategy could be appropriate for risk </w:t>
      </w:r>
      <w:r>
        <w:rPr>
          <w:b/>
          <w:i/>
          <w:color w:val="0000FF"/>
        </w:rPr>
        <w:t>averse investors</w:t>
      </w:r>
      <w:r>
        <w:rPr>
          <w:i/>
          <w:color w:val="0000FF"/>
        </w:rPr>
        <w:t xml:space="preserve">. Furthermore, </w:t>
      </w:r>
      <w:r>
        <w:rPr>
          <w:b/>
          <w:i/>
          <w:color w:val="0000FF"/>
        </w:rPr>
        <w:t>frequent rebalances (using either short or long-term options) can be the most effective choice.</w:t>
      </w:r>
      <w:r>
        <w:rPr>
          <w:i/>
          <w:color w:val="0000FF"/>
        </w:rPr>
        <w:t xml:space="preserve"> ‘</w:t>
      </w:r>
    </w:p>
    <w:p w14:paraId="11804231" w14:textId="77777777" w:rsidR="00817C1B" w:rsidRDefault="00817C1B">
      <w:pPr>
        <w:jc w:val="center"/>
        <w:rPr>
          <w:sz w:val="18"/>
          <w:szCs w:val="18"/>
        </w:rPr>
      </w:pPr>
    </w:p>
    <w:p w14:paraId="00780CC6" w14:textId="77777777" w:rsidR="00817C1B" w:rsidRDefault="00817C1B">
      <w:pPr>
        <w:jc w:val="center"/>
        <w:rPr>
          <w:sz w:val="18"/>
          <w:szCs w:val="18"/>
        </w:rPr>
      </w:pPr>
    </w:p>
    <w:p w14:paraId="188EB989" w14:textId="77777777" w:rsidR="00817C1B" w:rsidRDefault="00392EBA">
      <w:pPr>
        <w:jc w:val="center"/>
        <w:rPr>
          <w:sz w:val="18"/>
          <w:szCs w:val="18"/>
        </w:rPr>
      </w:pPr>
      <w:r>
        <w:rPr>
          <w:sz w:val="18"/>
          <w:szCs w:val="18"/>
        </w:rPr>
        <w:t xml:space="preserve">Chart 1: Portfolio value of </w:t>
      </w:r>
      <w:proofErr w:type="spellStart"/>
      <w:r>
        <w:rPr>
          <w:sz w:val="18"/>
          <w:szCs w:val="18"/>
        </w:rPr>
        <w:t>Buy&amp;Hold</w:t>
      </w:r>
      <w:proofErr w:type="spellEnd"/>
      <w:r>
        <w:rPr>
          <w:sz w:val="18"/>
          <w:szCs w:val="18"/>
        </w:rPr>
        <w:t xml:space="preserve"> QQQ Strategy</w:t>
      </w:r>
    </w:p>
    <w:p w14:paraId="367079B0" w14:textId="77777777" w:rsidR="00817C1B" w:rsidRDefault="00392EBA">
      <w:pPr>
        <w:jc w:val="center"/>
        <w:rPr>
          <w:sz w:val="18"/>
          <w:szCs w:val="18"/>
        </w:rPr>
      </w:pPr>
      <w:r>
        <w:rPr>
          <w:noProof/>
          <w:sz w:val="18"/>
          <w:szCs w:val="18"/>
        </w:rPr>
        <w:drawing>
          <wp:inline distT="114300" distB="114300" distL="114300" distR="114300" wp14:anchorId="48CC155C" wp14:editId="585C52DF">
            <wp:extent cx="7052400" cy="4064000"/>
            <wp:effectExtent l="0" t="0" r="0" b="0"/>
            <wp:docPr id="81" name="image73.png"/>
            <wp:cNvGraphicFramePr/>
            <a:graphic xmlns:a="http://schemas.openxmlformats.org/drawingml/2006/main">
              <a:graphicData uri="http://schemas.openxmlformats.org/drawingml/2006/picture">
                <pic:pic xmlns:pic="http://schemas.openxmlformats.org/drawingml/2006/picture">
                  <pic:nvPicPr>
                    <pic:cNvPr id="0" name="image73.png"/>
                    <pic:cNvPicPr preferRelativeResize="0"/>
                  </pic:nvPicPr>
                  <pic:blipFill>
                    <a:blip r:embed="rId14"/>
                    <a:srcRect/>
                    <a:stretch>
                      <a:fillRect/>
                    </a:stretch>
                  </pic:blipFill>
                  <pic:spPr>
                    <a:xfrm>
                      <a:off x="0" y="0"/>
                      <a:ext cx="7052400" cy="4064000"/>
                    </a:xfrm>
                    <a:prstGeom prst="rect">
                      <a:avLst/>
                    </a:prstGeom>
                    <a:ln/>
                  </pic:spPr>
                </pic:pic>
              </a:graphicData>
            </a:graphic>
          </wp:inline>
        </w:drawing>
      </w:r>
    </w:p>
    <w:p w14:paraId="13F92DC5" w14:textId="77777777" w:rsidR="00817C1B" w:rsidRDefault="00392EBA">
      <w:pPr>
        <w:jc w:val="center"/>
        <w:rPr>
          <w:sz w:val="18"/>
          <w:szCs w:val="18"/>
        </w:rPr>
      </w:pPr>
      <w:r>
        <w:br w:type="page"/>
      </w:r>
    </w:p>
    <w:p w14:paraId="595D8BAC" w14:textId="77777777" w:rsidR="00817C1B" w:rsidRDefault="00392EBA">
      <w:pPr>
        <w:jc w:val="center"/>
        <w:rPr>
          <w:sz w:val="18"/>
          <w:szCs w:val="18"/>
        </w:rPr>
      </w:pPr>
      <w:r>
        <w:rPr>
          <w:sz w:val="18"/>
          <w:szCs w:val="18"/>
        </w:rPr>
        <w:lastRenderedPageBreak/>
        <w:t xml:space="preserve">Table 1: Performance indicators of </w:t>
      </w:r>
      <w:proofErr w:type="spellStart"/>
      <w:r>
        <w:rPr>
          <w:sz w:val="18"/>
          <w:szCs w:val="18"/>
        </w:rPr>
        <w:t>Buy&amp;Hold</w:t>
      </w:r>
      <w:proofErr w:type="spellEnd"/>
      <w:r>
        <w:rPr>
          <w:sz w:val="18"/>
          <w:szCs w:val="18"/>
        </w:rPr>
        <w:t xml:space="preserve"> QQQ Strategy</w:t>
      </w:r>
    </w:p>
    <w:p w14:paraId="74C42CA8" w14:textId="77777777" w:rsidR="00817C1B" w:rsidRDefault="00392EBA">
      <w:pPr>
        <w:jc w:val="center"/>
        <w:rPr>
          <w:sz w:val="18"/>
          <w:szCs w:val="18"/>
        </w:rPr>
      </w:pPr>
      <w:r>
        <w:rPr>
          <w:noProof/>
          <w:sz w:val="18"/>
          <w:szCs w:val="18"/>
        </w:rPr>
        <w:drawing>
          <wp:inline distT="114300" distB="114300" distL="114300" distR="114300" wp14:anchorId="68E416CA" wp14:editId="114B4529">
            <wp:extent cx="6867525" cy="2047875"/>
            <wp:effectExtent l="0" t="0" r="0" b="0"/>
            <wp:docPr id="146" name="image137.png"/>
            <wp:cNvGraphicFramePr/>
            <a:graphic xmlns:a="http://schemas.openxmlformats.org/drawingml/2006/main">
              <a:graphicData uri="http://schemas.openxmlformats.org/drawingml/2006/picture">
                <pic:pic xmlns:pic="http://schemas.openxmlformats.org/drawingml/2006/picture">
                  <pic:nvPicPr>
                    <pic:cNvPr id="0" name="image137.png"/>
                    <pic:cNvPicPr preferRelativeResize="0"/>
                  </pic:nvPicPr>
                  <pic:blipFill>
                    <a:blip r:embed="rId15"/>
                    <a:srcRect/>
                    <a:stretch>
                      <a:fillRect/>
                    </a:stretch>
                  </pic:blipFill>
                  <pic:spPr>
                    <a:xfrm>
                      <a:off x="0" y="0"/>
                      <a:ext cx="6867525" cy="2047875"/>
                    </a:xfrm>
                    <a:prstGeom prst="rect">
                      <a:avLst/>
                    </a:prstGeom>
                    <a:ln/>
                  </pic:spPr>
                </pic:pic>
              </a:graphicData>
            </a:graphic>
          </wp:inline>
        </w:drawing>
      </w:r>
    </w:p>
    <w:p w14:paraId="24F22DCE" w14:textId="77777777" w:rsidR="00817C1B" w:rsidRDefault="00817C1B">
      <w:pPr>
        <w:jc w:val="center"/>
        <w:rPr>
          <w:sz w:val="18"/>
          <w:szCs w:val="18"/>
        </w:rPr>
      </w:pPr>
    </w:p>
    <w:p w14:paraId="79D40C94" w14:textId="77777777" w:rsidR="00817C1B" w:rsidRDefault="00817C1B">
      <w:pPr>
        <w:jc w:val="center"/>
        <w:rPr>
          <w:sz w:val="18"/>
          <w:szCs w:val="18"/>
        </w:rPr>
      </w:pPr>
    </w:p>
    <w:p w14:paraId="56F37450" w14:textId="77777777" w:rsidR="00817C1B" w:rsidRDefault="00392EBA">
      <w:pPr>
        <w:jc w:val="center"/>
        <w:rPr>
          <w:sz w:val="18"/>
          <w:szCs w:val="18"/>
        </w:rPr>
      </w:pPr>
      <w:r>
        <w:rPr>
          <w:sz w:val="18"/>
          <w:szCs w:val="18"/>
        </w:rPr>
        <w:t>Chart 2: QQQ put option chains at close on 2018-09-07 when QQQ stock spot price was 181.11</w:t>
      </w:r>
    </w:p>
    <w:p w14:paraId="54C2064A" w14:textId="77777777" w:rsidR="00817C1B" w:rsidRDefault="00817C1B">
      <w:pPr>
        <w:jc w:val="center"/>
        <w:rPr>
          <w:sz w:val="18"/>
          <w:szCs w:val="18"/>
        </w:rPr>
      </w:pPr>
    </w:p>
    <w:p w14:paraId="32782DEF" w14:textId="77777777" w:rsidR="00817C1B" w:rsidRDefault="00392EBA">
      <w:pPr>
        <w:jc w:val="center"/>
        <w:rPr>
          <w:sz w:val="18"/>
          <w:szCs w:val="18"/>
        </w:rPr>
      </w:pPr>
      <w:r>
        <w:rPr>
          <w:noProof/>
          <w:sz w:val="18"/>
          <w:szCs w:val="18"/>
        </w:rPr>
        <w:drawing>
          <wp:inline distT="114300" distB="114300" distL="114300" distR="114300" wp14:anchorId="0FA90074" wp14:editId="61830B59">
            <wp:extent cx="7052400" cy="3619500"/>
            <wp:effectExtent l="0" t="0" r="0" b="0"/>
            <wp:docPr id="13"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6"/>
                    <a:srcRect/>
                    <a:stretch>
                      <a:fillRect/>
                    </a:stretch>
                  </pic:blipFill>
                  <pic:spPr>
                    <a:xfrm>
                      <a:off x="0" y="0"/>
                      <a:ext cx="7052400" cy="3619500"/>
                    </a:xfrm>
                    <a:prstGeom prst="rect">
                      <a:avLst/>
                    </a:prstGeom>
                    <a:ln/>
                  </pic:spPr>
                </pic:pic>
              </a:graphicData>
            </a:graphic>
          </wp:inline>
        </w:drawing>
      </w:r>
    </w:p>
    <w:p w14:paraId="4786F6A0" w14:textId="77777777" w:rsidR="00817C1B" w:rsidRDefault="00817C1B">
      <w:pPr>
        <w:jc w:val="both"/>
        <w:rPr>
          <w:b/>
          <w:color w:val="FF0000"/>
          <w:sz w:val="28"/>
          <w:szCs w:val="28"/>
        </w:rPr>
      </w:pPr>
    </w:p>
    <w:p w14:paraId="1FB038EF" w14:textId="77777777" w:rsidR="00817C1B" w:rsidRDefault="00817C1B">
      <w:pPr>
        <w:pBdr>
          <w:top w:val="nil"/>
          <w:left w:val="nil"/>
          <w:bottom w:val="nil"/>
          <w:right w:val="nil"/>
          <w:between w:val="nil"/>
        </w:pBdr>
        <w:jc w:val="both"/>
      </w:pPr>
    </w:p>
    <w:p w14:paraId="4684F660" w14:textId="77777777" w:rsidR="00817C1B" w:rsidRDefault="00817C1B">
      <w:pPr>
        <w:pBdr>
          <w:top w:val="nil"/>
          <w:left w:val="nil"/>
          <w:bottom w:val="nil"/>
          <w:right w:val="nil"/>
          <w:between w:val="nil"/>
        </w:pBdr>
        <w:jc w:val="both"/>
        <w:rPr>
          <w:b/>
          <w:color w:val="FF0000"/>
          <w:sz w:val="28"/>
          <w:szCs w:val="28"/>
        </w:rPr>
      </w:pPr>
    </w:p>
    <w:p w14:paraId="75EC9AA3" w14:textId="77777777" w:rsidR="00817C1B" w:rsidRDefault="00817C1B">
      <w:pPr>
        <w:pBdr>
          <w:top w:val="nil"/>
          <w:left w:val="nil"/>
          <w:bottom w:val="nil"/>
          <w:right w:val="nil"/>
          <w:between w:val="nil"/>
        </w:pBdr>
        <w:jc w:val="both"/>
        <w:rPr>
          <w:b/>
          <w:color w:val="FF0000"/>
          <w:sz w:val="28"/>
          <w:szCs w:val="28"/>
        </w:rPr>
      </w:pPr>
    </w:p>
    <w:p w14:paraId="10F55049" w14:textId="77777777" w:rsidR="00817C1B" w:rsidRDefault="00392EBA">
      <w:pPr>
        <w:pBdr>
          <w:top w:val="nil"/>
          <w:left w:val="nil"/>
          <w:bottom w:val="nil"/>
          <w:right w:val="nil"/>
          <w:between w:val="nil"/>
        </w:pBdr>
        <w:jc w:val="both"/>
        <w:rPr>
          <w:b/>
          <w:color w:val="FF0000"/>
          <w:sz w:val="28"/>
          <w:szCs w:val="28"/>
        </w:rPr>
      </w:pPr>
      <w:r>
        <w:br w:type="page"/>
      </w:r>
    </w:p>
    <w:p w14:paraId="2E15B7BE" w14:textId="77777777" w:rsidR="00817C1B" w:rsidRDefault="00392EBA">
      <w:pPr>
        <w:pBdr>
          <w:top w:val="nil"/>
          <w:left w:val="nil"/>
          <w:bottom w:val="nil"/>
          <w:right w:val="nil"/>
          <w:between w:val="nil"/>
        </w:pBdr>
        <w:jc w:val="both"/>
        <w:rPr>
          <w:b/>
          <w:color w:val="FF0000"/>
          <w:sz w:val="28"/>
          <w:szCs w:val="28"/>
        </w:rPr>
      </w:pPr>
      <w:r>
        <w:rPr>
          <w:b/>
          <w:color w:val="FF0000"/>
          <w:sz w:val="28"/>
          <w:szCs w:val="28"/>
        </w:rPr>
        <w:lastRenderedPageBreak/>
        <w:t>Previous Results</w:t>
      </w:r>
    </w:p>
    <w:p w14:paraId="1236C8D8" w14:textId="77777777" w:rsidR="00817C1B" w:rsidRDefault="00817C1B">
      <w:pPr>
        <w:pBdr>
          <w:top w:val="nil"/>
          <w:left w:val="nil"/>
          <w:bottom w:val="nil"/>
          <w:right w:val="nil"/>
          <w:between w:val="nil"/>
        </w:pBdr>
        <w:jc w:val="both"/>
        <w:rPr>
          <w:color w:val="38761D"/>
        </w:rPr>
      </w:pPr>
    </w:p>
    <w:p w14:paraId="5AC3D19F" w14:textId="77777777" w:rsidR="00817C1B" w:rsidRDefault="00392EBA">
      <w:pPr>
        <w:jc w:val="both"/>
        <w:rPr>
          <w:i/>
          <w:color w:val="0000FF"/>
        </w:rPr>
      </w:pPr>
      <w:r>
        <w:t xml:space="preserve">In the </w:t>
      </w:r>
      <w:hyperlink r:id="rId17">
        <w:r>
          <w:rPr>
            <w:color w:val="1155CC"/>
            <w:u w:val="single"/>
          </w:rPr>
          <w:t>previous study in 2018</w:t>
        </w:r>
      </w:hyperlink>
      <w:r>
        <w:t>,</w:t>
      </w:r>
      <w:r>
        <w:rPr>
          <w:i/>
          <w:color w:val="0000FF"/>
        </w:rPr>
        <w:t xml:space="preserve"> ‘we examined whether our </w:t>
      </w:r>
      <w:proofErr w:type="spellStart"/>
      <w:r>
        <w:rPr>
          <w:b/>
          <w:i/>
          <w:color w:val="0000FF"/>
        </w:rPr>
        <w:t>GameChanger</w:t>
      </w:r>
      <w:proofErr w:type="spellEnd"/>
      <w:r>
        <w:rPr>
          <w:b/>
          <w:i/>
          <w:color w:val="0000FF"/>
        </w:rPr>
        <w:t xml:space="preserve"> portfolio could be hedged/insured with QQQ put options</w:t>
      </w:r>
      <w:r>
        <w:rPr>
          <w:i/>
          <w:color w:val="0000FF"/>
        </w:rPr>
        <w:t xml:space="preserve"> using different techniques</w:t>
      </w:r>
      <w:r>
        <w:rPr>
          <w:i/>
          <w:color w:val="0000FF"/>
        </w:rPr>
        <w:t>.</w:t>
      </w:r>
      <w:r>
        <w:rPr>
          <w:i/>
          <w:color w:val="0000FF"/>
        </w:rPr>
        <w:br/>
      </w:r>
      <w:r>
        <w:rPr>
          <w:i/>
          <w:color w:val="0000FF"/>
        </w:rPr>
        <w:br/>
        <w:t xml:space="preserve">The </w:t>
      </w:r>
      <w:r>
        <w:rPr>
          <w:b/>
          <w:i/>
          <w:color w:val="0000FF"/>
        </w:rPr>
        <w:t>protective put option</w:t>
      </w:r>
      <w:r>
        <w:rPr>
          <w:i/>
          <w:color w:val="0000FF"/>
        </w:rPr>
        <w:t xml:space="preserve"> strategy with </w:t>
      </w:r>
      <w:r>
        <w:rPr>
          <w:b/>
          <w:i/>
          <w:color w:val="0000FF"/>
        </w:rPr>
        <w:t>systematic rebalance/rebuy</w:t>
      </w:r>
      <w:r>
        <w:rPr>
          <w:i/>
          <w:color w:val="0000FF"/>
        </w:rPr>
        <w:t xml:space="preserve">:  roll forward (periodical rebalance at expiration) and options roll up  technique were analysed. During calculations, we used real option and stock prices from </w:t>
      </w:r>
      <w:r>
        <w:rPr>
          <w:b/>
          <w:i/>
          <w:color w:val="0000FF"/>
        </w:rPr>
        <w:t>2011-03-23 to 2018-08-31</w:t>
      </w:r>
      <w:r>
        <w:rPr>
          <w:i/>
          <w:color w:val="0000FF"/>
        </w:rPr>
        <w:t>.</w:t>
      </w:r>
      <w:r>
        <w:rPr>
          <w:b/>
          <w:i/>
          <w:color w:val="0000FF"/>
        </w:rPr>
        <w:t xml:space="preserve"> </w:t>
      </w:r>
      <w:r>
        <w:rPr>
          <w:i/>
          <w:color w:val="0000FF"/>
        </w:rPr>
        <w:t>Options with 1-, 2-, 4-, 6-, 8-, 10- or 12-month maturity were chosen to buy in the strategies.</w:t>
      </w:r>
    </w:p>
    <w:p w14:paraId="254DA1B9" w14:textId="77777777" w:rsidR="00817C1B" w:rsidRDefault="00817C1B">
      <w:pPr>
        <w:jc w:val="both"/>
        <w:rPr>
          <w:i/>
          <w:color w:val="0000FF"/>
        </w:rPr>
      </w:pPr>
    </w:p>
    <w:p w14:paraId="2E41EB55" w14:textId="77777777" w:rsidR="00817C1B" w:rsidRDefault="00392EBA">
      <w:pPr>
        <w:jc w:val="both"/>
        <w:rPr>
          <w:i/>
          <w:color w:val="0000FF"/>
        </w:rPr>
      </w:pPr>
      <w:r>
        <w:rPr>
          <w:i/>
          <w:color w:val="0000FF"/>
        </w:rPr>
        <w:t xml:space="preserve">At first, we concluded that </w:t>
      </w:r>
      <w:r>
        <w:rPr>
          <w:b/>
          <w:i/>
          <w:color w:val="0000FF"/>
        </w:rPr>
        <w:t>we should not have excessive expectations with regard to the profitability (CAGR) of this insurance strategy: QQQ has moved up abo</w:t>
      </w:r>
      <w:r>
        <w:rPr>
          <w:b/>
          <w:i/>
          <w:color w:val="0000FF"/>
        </w:rPr>
        <w:t>ut +240% in the examined period (from 2011-03-23 until 2018-08-31) without really significant corrections (maximum drawdown is only 16.36%)</w:t>
      </w:r>
      <w:r>
        <w:rPr>
          <w:i/>
          <w:color w:val="0000FF"/>
        </w:rPr>
        <w:t xml:space="preserve">. And since it is an </w:t>
      </w:r>
      <w:r>
        <w:rPr>
          <w:b/>
          <w:i/>
          <w:color w:val="0000FF"/>
        </w:rPr>
        <w:t>‘insurance strategy’</w:t>
      </w:r>
      <w:r>
        <w:rPr>
          <w:i/>
          <w:color w:val="0000FF"/>
        </w:rPr>
        <w:t xml:space="preserve">, it is expected to </w:t>
      </w:r>
      <w:r>
        <w:rPr>
          <w:b/>
          <w:i/>
          <w:color w:val="0000FF"/>
        </w:rPr>
        <w:t>perform better in ‘difficult times’, not in this bullish</w:t>
      </w:r>
      <w:r>
        <w:rPr>
          <w:b/>
          <w:i/>
          <w:color w:val="0000FF"/>
        </w:rPr>
        <w:t xml:space="preserve"> period.</w:t>
      </w:r>
      <w:r>
        <w:rPr>
          <w:i/>
          <w:color w:val="0000FF"/>
        </w:rPr>
        <w:t xml:space="preserve"> For this reason, in </w:t>
      </w:r>
      <w:r>
        <w:rPr>
          <w:b/>
          <w:i/>
          <w:color w:val="0000FF"/>
        </w:rPr>
        <w:t>our next study, the performance in these ‘difficult times’ will be investigated using synthesized, generated option and stock prices</w:t>
      </w:r>
      <w:r>
        <w:rPr>
          <w:i/>
          <w:color w:val="0000FF"/>
        </w:rPr>
        <w:t>.</w:t>
      </w:r>
    </w:p>
    <w:p w14:paraId="31EDED67" w14:textId="77777777" w:rsidR="00817C1B" w:rsidRDefault="00817C1B">
      <w:pPr>
        <w:jc w:val="both"/>
        <w:rPr>
          <w:i/>
          <w:color w:val="0000FF"/>
        </w:rPr>
      </w:pPr>
    </w:p>
    <w:p w14:paraId="0FB953E0" w14:textId="77777777" w:rsidR="00817C1B" w:rsidRDefault="00392EBA">
      <w:pPr>
        <w:spacing w:after="80" w:line="271" w:lineRule="auto"/>
        <w:jc w:val="both"/>
        <w:rPr>
          <w:b/>
          <w:i/>
          <w:color w:val="0000FF"/>
        </w:rPr>
      </w:pPr>
      <w:r>
        <w:rPr>
          <w:b/>
          <w:i/>
          <w:color w:val="0000FF"/>
        </w:rPr>
        <w:t>Based on our results we concluded that:</w:t>
      </w:r>
    </w:p>
    <w:p w14:paraId="53D3687A" w14:textId="77777777" w:rsidR="00817C1B" w:rsidRDefault="00392EBA">
      <w:pPr>
        <w:numPr>
          <w:ilvl w:val="0"/>
          <w:numId w:val="4"/>
        </w:numPr>
        <w:spacing w:after="80" w:line="271" w:lineRule="auto"/>
        <w:jc w:val="both"/>
        <w:rPr>
          <w:b/>
          <w:i/>
          <w:color w:val="0000FF"/>
        </w:rPr>
      </w:pPr>
      <w:r>
        <w:rPr>
          <w:b/>
          <w:i/>
          <w:color w:val="0000FF"/>
        </w:rPr>
        <w:t xml:space="preserve">simple </w:t>
      </w:r>
      <w:proofErr w:type="spellStart"/>
      <w:r>
        <w:rPr>
          <w:b/>
          <w:i/>
          <w:color w:val="0000FF"/>
        </w:rPr>
        <w:t>Buy&amp;Hold</w:t>
      </w:r>
      <w:proofErr w:type="spellEnd"/>
      <w:r>
        <w:rPr>
          <w:b/>
          <w:i/>
          <w:color w:val="0000FF"/>
        </w:rPr>
        <w:t xml:space="preserve"> QQQ stock strategy has by far the be</w:t>
      </w:r>
      <w:r>
        <w:rPr>
          <w:b/>
          <w:i/>
          <w:color w:val="0000FF"/>
        </w:rPr>
        <w:t>st CAGR (17.49%) as it was expected;</w:t>
      </w:r>
    </w:p>
    <w:p w14:paraId="705C01AF" w14:textId="77777777" w:rsidR="00817C1B" w:rsidRDefault="00392EBA">
      <w:pPr>
        <w:numPr>
          <w:ilvl w:val="0"/>
          <w:numId w:val="4"/>
        </w:numPr>
        <w:spacing w:after="80" w:line="271" w:lineRule="auto"/>
        <w:jc w:val="both"/>
        <w:rPr>
          <w:b/>
          <w:i/>
          <w:color w:val="0000FF"/>
        </w:rPr>
      </w:pPr>
      <w:r>
        <w:rPr>
          <w:b/>
          <w:i/>
          <w:color w:val="0000FF"/>
        </w:rPr>
        <w:t>in all cases, CAGR is about 9-10%;</w:t>
      </w:r>
    </w:p>
    <w:p w14:paraId="14B98FF6" w14:textId="77777777" w:rsidR="00817C1B" w:rsidRDefault="00392EBA">
      <w:pPr>
        <w:numPr>
          <w:ilvl w:val="0"/>
          <w:numId w:val="4"/>
        </w:numPr>
        <w:spacing w:after="80" w:line="271" w:lineRule="auto"/>
        <w:jc w:val="both"/>
        <w:rPr>
          <w:b/>
          <w:i/>
          <w:color w:val="0000FF"/>
        </w:rPr>
      </w:pPr>
      <w:r>
        <w:rPr>
          <w:b/>
          <w:i/>
          <w:color w:val="0000FF"/>
        </w:rPr>
        <w:t xml:space="preserve">maximum drawdown is higher when rebalance is less frequent (even higher than the pure </w:t>
      </w:r>
      <w:proofErr w:type="spellStart"/>
      <w:r>
        <w:rPr>
          <w:b/>
          <w:i/>
          <w:color w:val="0000FF"/>
        </w:rPr>
        <w:t>buy&amp;hold</w:t>
      </w:r>
      <w:proofErr w:type="spellEnd"/>
      <w:r>
        <w:rPr>
          <w:b/>
          <w:i/>
          <w:color w:val="0000FF"/>
        </w:rPr>
        <w:t>);</w:t>
      </w:r>
    </w:p>
    <w:p w14:paraId="2DD48DBC" w14:textId="77777777" w:rsidR="00817C1B" w:rsidRDefault="00392EBA">
      <w:pPr>
        <w:numPr>
          <w:ilvl w:val="0"/>
          <w:numId w:val="4"/>
        </w:numPr>
        <w:spacing w:after="80" w:line="271" w:lineRule="auto"/>
        <w:jc w:val="both"/>
        <w:rPr>
          <w:b/>
          <w:i/>
          <w:color w:val="0000FF"/>
        </w:rPr>
      </w:pPr>
      <w:r>
        <w:rPr>
          <w:b/>
          <w:i/>
          <w:color w:val="0000FF"/>
        </w:rPr>
        <w:t xml:space="preserve">the monthly rebalance technique (which has the most frequent rebalance) has the highest Sharpe and MAR ratios. Sharpe is about the same, but MAR is even better than the </w:t>
      </w:r>
      <w:proofErr w:type="spellStart"/>
      <w:r>
        <w:rPr>
          <w:b/>
          <w:i/>
          <w:color w:val="0000FF"/>
        </w:rPr>
        <w:t>Buy&amp;Hold</w:t>
      </w:r>
      <w:proofErr w:type="spellEnd"/>
      <w:r>
        <w:rPr>
          <w:b/>
          <w:i/>
          <w:color w:val="0000FF"/>
        </w:rPr>
        <w:t xml:space="preserve"> QQQ stock strategy;</w:t>
      </w:r>
    </w:p>
    <w:p w14:paraId="4E4E3612" w14:textId="77777777" w:rsidR="00817C1B" w:rsidRDefault="00392EBA">
      <w:pPr>
        <w:numPr>
          <w:ilvl w:val="0"/>
          <w:numId w:val="4"/>
        </w:numPr>
        <w:spacing w:after="80" w:line="271" w:lineRule="auto"/>
        <w:jc w:val="both"/>
        <w:rPr>
          <w:b/>
          <w:i/>
          <w:color w:val="0000FF"/>
        </w:rPr>
      </w:pPr>
      <w:r>
        <w:rPr>
          <w:b/>
          <w:i/>
          <w:color w:val="0000FF"/>
        </w:rPr>
        <w:t xml:space="preserve">besides them, rolling up with 3% or 5% rebalance threshold and 2-month maturity performed also at least as well as the pure </w:t>
      </w:r>
      <w:proofErr w:type="spellStart"/>
      <w:r>
        <w:rPr>
          <w:b/>
          <w:i/>
          <w:color w:val="0000FF"/>
        </w:rPr>
        <w:t>buy&amp;hold</w:t>
      </w:r>
      <w:proofErr w:type="spellEnd"/>
      <w:r>
        <w:rPr>
          <w:b/>
          <w:i/>
          <w:color w:val="0000FF"/>
        </w:rPr>
        <w:t xml:space="preserve"> with respect to these ratios.</w:t>
      </w:r>
    </w:p>
    <w:p w14:paraId="297D2309" w14:textId="77777777" w:rsidR="00817C1B" w:rsidRDefault="00817C1B">
      <w:pPr>
        <w:spacing w:after="80" w:line="271" w:lineRule="auto"/>
        <w:ind w:left="720"/>
        <w:jc w:val="both"/>
        <w:rPr>
          <w:b/>
          <w:i/>
          <w:color w:val="0000FF"/>
        </w:rPr>
      </w:pPr>
    </w:p>
    <w:p w14:paraId="40B5E996" w14:textId="77777777" w:rsidR="00817C1B" w:rsidRDefault="00392EBA">
      <w:pPr>
        <w:jc w:val="both"/>
        <w:rPr>
          <w:b/>
          <w:i/>
          <w:color w:val="0000FF"/>
        </w:rPr>
      </w:pPr>
      <w:r>
        <w:rPr>
          <w:i/>
          <w:color w:val="0000FF"/>
        </w:rPr>
        <w:t xml:space="preserve">Next, we analysed </w:t>
      </w:r>
      <w:r>
        <w:rPr>
          <w:b/>
          <w:i/>
          <w:color w:val="0000FF"/>
        </w:rPr>
        <w:t>the monthly rebalance with 1-month maturity as far as the rolling up techn</w:t>
      </w:r>
      <w:r>
        <w:rPr>
          <w:b/>
          <w:i/>
          <w:color w:val="0000FF"/>
        </w:rPr>
        <w:t>ique with 5% rebalance threshold and 2-month maturity</w:t>
      </w:r>
      <w:r>
        <w:rPr>
          <w:i/>
          <w:color w:val="0000FF"/>
        </w:rPr>
        <w:t xml:space="preserve"> in more detail. We found that both of them are almost as good as the simple </w:t>
      </w:r>
      <w:proofErr w:type="spellStart"/>
      <w:r>
        <w:rPr>
          <w:i/>
          <w:color w:val="0000FF"/>
        </w:rPr>
        <w:t>Buy&amp;Hold</w:t>
      </w:r>
      <w:proofErr w:type="spellEnd"/>
      <w:r>
        <w:rPr>
          <w:i/>
          <w:color w:val="0000FF"/>
        </w:rPr>
        <w:t xml:space="preserve"> strategy, especially when leverage is used. Furthermore, we showed that </w:t>
      </w:r>
      <w:r>
        <w:rPr>
          <w:b/>
          <w:i/>
          <w:color w:val="0000FF"/>
        </w:rPr>
        <w:t xml:space="preserve">the option sub-strategy can almost perfectly </w:t>
      </w:r>
      <w:r>
        <w:rPr>
          <w:b/>
          <w:i/>
          <w:color w:val="0000FF"/>
        </w:rPr>
        <w:t>protect the stock sub-strategy in extreme bearish periods</w:t>
      </w:r>
      <w:r>
        <w:rPr>
          <w:i/>
          <w:color w:val="0000FF"/>
        </w:rPr>
        <w:t xml:space="preserve"> (i.e. when the stock falls a lot). </w:t>
      </w:r>
      <w:r>
        <w:rPr>
          <w:b/>
          <w:i/>
          <w:color w:val="0000FF"/>
        </w:rPr>
        <w:t>In bullish periods, the gain on stock could fairly compensate for the loss on option, so the strategy as a whole remains profitable. The only time we make an “unne</w:t>
      </w:r>
      <w:r>
        <w:rPr>
          <w:b/>
          <w:i/>
          <w:color w:val="0000FF"/>
        </w:rPr>
        <w:t>cessary” loss is when the market is sideways.</w:t>
      </w:r>
    </w:p>
    <w:p w14:paraId="1DCEE6C0" w14:textId="77777777" w:rsidR="00817C1B" w:rsidRDefault="00817C1B">
      <w:pPr>
        <w:jc w:val="both"/>
        <w:rPr>
          <w:i/>
          <w:color w:val="0000FF"/>
        </w:rPr>
      </w:pPr>
    </w:p>
    <w:p w14:paraId="257723A0" w14:textId="77777777" w:rsidR="00817C1B" w:rsidRDefault="00392EBA">
      <w:pPr>
        <w:jc w:val="both"/>
        <w:rPr>
          <w:i/>
          <w:color w:val="0000FF"/>
        </w:rPr>
      </w:pPr>
      <w:r>
        <w:rPr>
          <w:i/>
          <w:color w:val="0000FF"/>
        </w:rPr>
        <w:t xml:space="preserve">Finally, we showed that the </w:t>
      </w:r>
      <w:r>
        <w:rPr>
          <w:b/>
          <w:i/>
          <w:color w:val="0000FF"/>
        </w:rPr>
        <w:t xml:space="preserve">start date of the </w:t>
      </w:r>
      <w:proofErr w:type="spellStart"/>
      <w:r>
        <w:rPr>
          <w:b/>
          <w:i/>
          <w:color w:val="0000FF"/>
        </w:rPr>
        <w:t>backtest</w:t>
      </w:r>
      <w:proofErr w:type="spellEnd"/>
      <w:r>
        <w:rPr>
          <w:b/>
          <w:i/>
          <w:color w:val="0000FF"/>
        </w:rPr>
        <w:t xml:space="preserve"> is irrelevant</w:t>
      </w:r>
      <w:r>
        <w:rPr>
          <w:i/>
          <w:color w:val="0000FF"/>
        </w:rPr>
        <w:t>, thus the good performance is not derived from data-fitting.</w:t>
      </w:r>
    </w:p>
    <w:p w14:paraId="669E7CBA" w14:textId="77777777" w:rsidR="00817C1B" w:rsidRDefault="00817C1B">
      <w:pPr>
        <w:jc w:val="both"/>
        <w:rPr>
          <w:i/>
          <w:color w:val="0000FF"/>
        </w:rPr>
      </w:pPr>
    </w:p>
    <w:p w14:paraId="6923CFF9" w14:textId="77777777" w:rsidR="00817C1B" w:rsidRDefault="00392EBA">
      <w:pPr>
        <w:pBdr>
          <w:top w:val="nil"/>
          <w:left w:val="nil"/>
          <w:bottom w:val="nil"/>
          <w:right w:val="nil"/>
          <w:between w:val="nil"/>
        </w:pBdr>
        <w:jc w:val="both"/>
        <w:rPr>
          <w:i/>
          <w:color w:val="0000FF"/>
        </w:rPr>
      </w:pPr>
      <w:r>
        <w:rPr>
          <w:i/>
          <w:color w:val="0000FF"/>
        </w:rPr>
        <w:t>All in all, we recommend playing this ‘QQQ Put Option Insurance Strategy’</w:t>
      </w:r>
      <w:r>
        <w:rPr>
          <w:b/>
          <w:i/>
          <w:color w:val="0000FF"/>
        </w:rPr>
        <w:t xml:space="preserve"> eith</w:t>
      </w:r>
      <w:r>
        <w:rPr>
          <w:b/>
          <w:i/>
          <w:color w:val="0000FF"/>
        </w:rPr>
        <w:t>er with monthly rebalance with 1-month maturity options or with the rolling up technique with 5% rebalance threshold and 2-month maturity options</w:t>
      </w:r>
      <w:r>
        <w:rPr>
          <w:i/>
          <w:color w:val="0000FF"/>
        </w:rPr>
        <w:t>.’</w:t>
      </w:r>
    </w:p>
    <w:p w14:paraId="1DEE6C95" w14:textId="77777777" w:rsidR="00817C1B" w:rsidRDefault="00817C1B">
      <w:pPr>
        <w:pBdr>
          <w:top w:val="nil"/>
          <w:left w:val="nil"/>
          <w:bottom w:val="nil"/>
          <w:right w:val="nil"/>
          <w:between w:val="nil"/>
        </w:pBdr>
        <w:jc w:val="both"/>
        <w:rPr>
          <w:color w:val="38761D"/>
        </w:rPr>
      </w:pPr>
    </w:p>
    <w:p w14:paraId="5EC863E6" w14:textId="77777777" w:rsidR="00817C1B" w:rsidRDefault="00392EBA">
      <w:pPr>
        <w:pBdr>
          <w:top w:val="nil"/>
          <w:left w:val="nil"/>
          <w:bottom w:val="nil"/>
          <w:right w:val="nil"/>
          <w:between w:val="nil"/>
        </w:pBdr>
        <w:jc w:val="both"/>
        <w:rPr>
          <w:color w:val="38761D"/>
        </w:rPr>
      </w:pPr>
      <w:r>
        <w:t xml:space="preserve">In this current study, we are only dealing with the </w:t>
      </w:r>
      <w:r>
        <w:rPr>
          <w:b/>
        </w:rPr>
        <w:t>‘monthly rebalance with 1-month maturity options’</w:t>
      </w:r>
      <w:r>
        <w:t xml:space="preserve"> strat</w:t>
      </w:r>
      <w:r>
        <w:t>egy, which seems the best choice for us.</w:t>
      </w:r>
      <w:r>
        <w:br w:type="page"/>
      </w:r>
    </w:p>
    <w:p w14:paraId="48AD4B3E" w14:textId="77777777" w:rsidR="00817C1B" w:rsidRDefault="00392EBA">
      <w:pPr>
        <w:pStyle w:val="Heading1"/>
        <w:pBdr>
          <w:top w:val="nil"/>
          <w:left w:val="nil"/>
          <w:bottom w:val="nil"/>
          <w:right w:val="nil"/>
          <w:between w:val="nil"/>
        </w:pBdr>
        <w:jc w:val="both"/>
        <w:rPr>
          <w:color w:val="38761D"/>
        </w:rPr>
      </w:pPr>
      <w:bookmarkStart w:id="4" w:name="_dni33xrtkkxe" w:colFirst="0" w:colLast="0"/>
      <w:bookmarkEnd w:id="4"/>
      <w:r>
        <w:rPr>
          <w:color w:val="38761D"/>
        </w:rPr>
        <w:lastRenderedPageBreak/>
        <w:t>Results</w:t>
      </w:r>
    </w:p>
    <w:p w14:paraId="3B2C5773" w14:textId="77777777" w:rsidR="00817C1B" w:rsidRDefault="00392EBA">
      <w:pPr>
        <w:pStyle w:val="Heading2"/>
        <w:rPr>
          <w:color w:val="4A86E8"/>
          <w:sz w:val="28"/>
          <w:szCs w:val="28"/>
        </w:rPr>
      </w:pPr>
      <w:bookmarkStart w:id="5" w:name="_yuk6yhomqn00" w:colFirst="0" w:colLast="0"/>
      <w:bookmarkEnd w:id="5"/>
      <w:r>
        <w:rPr>
          <w:color w:val="4A86E8"/>
          <w:sz w:val="28"/>
          <w:szCs w:val="28"/>
        </w:rPr>
        <w:t>Real Life Performance of the QQQ Put Option Insurance Strategy - 2011-2019</w:t>
      </w:r>
    </w:p>
    <w:p w14:paraId="2F23AD05" w14:textId="77777777" w:rsidR="00817C1B" w:rsidRDefault="00817C1B"/>
    <w:p w14:paraId="06B17548" w14:textId="77777777" w:rsidR="00817C1B" w:rsidRDefault="00392EBA">
      <w:pPr>
        <w:jc w:val="both"/>
      </w:pPr>
      <w:r>
        <w:t xml:space="preserve">At first, let us see </w:t>
      </w:r>
      <w:r>
        <w:rPr>
          <w:b/>
        </w:rPr>
        <w:t>how the strategy would have performed from 2011 until the first half of 2019 using real option and stock pric</w:t>
      </w:r>
      <w:r>
        <w:rPr>
          <w:b/>
        </w:rPr>
        <w:t>es</w:t>
      </w:r>
      <w:r>
        <w:t xml:space="preserve">. </w:t>
      </w:r>
    </w:p>
    <w:p w14:paraId="60ED042D" w14:textId="77777777" w:rsidR="00817C1B" w:rsidRDefault="00817C1B">
      <w:pPr>
        <w:jc w:val="both"/>
      </w:pPr>
    </w:p>
    <w:p w14:paraId="7FC614F3" w14:textId="77777777" w:rsidR="00817C1B" w:rsidRDefault="00392EBA">
      <w:pPr>
        <w:jc w:val="both"/>
      </w:pPr>
      <w:r>
        <w:t xml:space="preserve">The strategy uses </w:t>
      </w:r>
      <w:hyperlink r:id="rId18">
        <w:r>
          <w:rPr>
            <w:b/>
            <w:color w:val="1155CC"/>
            <w:u w:val="single"/>
          </w:rPr>
          <w:t>roll forward</w:t>
        </w:r>
      </w:hyperlink>
      <w:r>
        <w:t xml:space="preserve"> (periodical rebalance)</w:t>
      </w:r>
      <w:r>
        <w:rPr>
          <w:b/>
        </w:rPr>
        <w:t xml:space="preserve"> technique</w:t>
      </w:r>
      <w:r>
        <w:t xml:space="preserve">: ATM (or nearest OTM) options with 1-month maturity are </w:t>
      </w:r>
      <w:r>
        <w:rPr>
          <w:b/>
        </w:rPr>
        <w:t>bought at close on an OPEX day</w:t>
      </w:r>
      <w:r>
        <w:t xml:space="preserve"> and are </w:t>
      </w:r>
      <w:r>
        <w:rPr>
          <w:b/>
        </w:rPr>
        <w:t>rolled forward</w:t>
      </w:r>
      <w:r>
        <w:t xml:space="preserve"> on the subsequent OPEX day one month later (I.e. we let the current option expire, and buy a new ATM option which expires 1-month in the future. This is repeated every month.). </w:t>
      </w:r>
      <w:r>
        <w:rPr>
          <w:b/>
        </w:rPr>
        <w:t>1,000 shares</w:t>
      </w:r>
      <w:r>
        <w:t xml:space="preserve"> were bought </w:t>
      </w:r>
      <w:r>
        <w:t xml:space="preserve">at the beginning of the </w:t>
      </w:r>
      <w:proofErr w:type="spellStart"/>
      <w:r>
        <w:t>backtest</w:t>
      </w:r>
      <w:proofErr w:type="spellEnd"/>
      <w:r>
        <w:t xml:space="preserve"> (</w:t>
      </w:r>
      <w:r>
        <w:rPr>
          <w:b/>
        </w:rPr>
        <w:t>buy and hold forever</w:t>
      </w:r>
      <w:r>
        <w:t xml:space="preserve">) and </w:t>
      </w:r>
      <w:r>
        <w:rPr>
          <w:b/>
        </w:rPr>
        <w:t>at every rebuy/rebalance</w:t>
      </w:r>
      <w:r>
        <w:t xml:space="preserve"> the corresponding </w:t>
      </w:r>
      <w:r>
        <w:rPr>
          <w:b/>
        </w:rPr>
        <w:t>10 options</w:t>
      </w:r>
      <w:r>
        <w:t xml:space="preserve"> were purchased. In other words, we play </w:t>
      </w:r>
      <w:proofErr w:type="spellStart"/>
      <w:r>
        <w:rPr>
          <w:b/>
        </w:rPr>
        <w:t>buy&amp;hold</w:t>
      </w:r>
      <w:proofErr w:type="spellEnd"/>
      <w:r>
        <w:rPr>
          <w:b/>
        </w:rPr>
        <w:t xml:space="preserve"> forever QQQ stock with the corresponding number of options as an insurance/hedge</w:t>
      </w:r>
      <w:r>
        <w:t>. Thus, the s</w:t>
      </w:r>
      <w:r>
        <w:t xml:space="preserve">trategy has </w:t>
      </w:r>
      <w:r>
        <w:rPr>
          <w:b/>
        </w:rPr>
        <w:t>two parts: long stock and long put option</w:t>
      </w:r>
      <w:r>
        <w:t>.</w:t>
      </w:r>
    </w:p>
    <w:p w14:paraId="6D1EAFFA" w14:textId="77777777" w:rsidR="00817C1B" w:rsidRDefault="00817C1B">
      <w:pPr>
        <w:jc w:val="both"/>
      </w:pPr>
    </w:p>
    <w:p w14:paraId="4D51F3D8" w14:textId="77777777" w:rsidR="00817C1B" w:rsidRDefault="00392EBA">
      <w:pPr>
        <w:jc w:val="both"/>
      </w:pPr>
      <w:r>
        <w:t xml:space="preserve">The </w:t>
      </w:r>
      <w:r>
        <w:rPr>
          <w:b/>
        </w:rPr>
        <w:t xml:space="preserve">past performance of this strategy, its parts and the pure </w:t>
      </w:r>
      <w:proofErr w:type="spellStart"/>
      <w:r>
        <w:rPr>
          <w:b/>
        </w:rPr>
        <w:t>buy&amp;hold</w:t>
      </w:r>
      <w:proofErr w:type="spellEnd"/>
      <w:r>
        <w:rPr>
          <w:b/>
        </w:rPr>
        <w:t xml:space="preserve"> QQQ (without any insurance)</w:t>
      </w:r>
      <w:r>
        <w:t xml:space="preserve"> can be seen in Chart 3-3a and in Table 2a-2d. In case of </w:t>
      </w:r>
      <w:r>
        <w:rPr>
          <w:b/>
        </w:rPr>
        <w:t>put option and long stock parts, daily returns compared to the whole portfolio were calculated and PVs are based on these ‘daily returns’</w:t>
      </w:r>
      <w:r>
        <w:t xml:space="preserve">. Thus, </w:t>
      </w:r>
      <w:r>
        <w:rPr>
          <w:b/>
        </w:rPr>
        <w:t xml:space="preserve">yearly performances of the parts </w:t>
      </w:r>
      <w:proofErr w:type="spellStart"/>
      <w:r>
        <w:rPr>
          <w:b/>
        </w:rPr>
        <w:t>can not</w:t>
      </w:r>
      <w:proofErr w:type="spellEnd"/>
      <w:r>
        <w:rPr>
          <w:b/>
        </w:rPr>
        <w:t xml:space="preserve"> be added or multiplied with each other</w:t>
      </w:r>
      <w:r>
        <w:t>. Furthermore, because of this m</w:t>
      </w:r>
      <w:r>
        <w:t xml:space="preserve">ethod, </w:t>
      </w:r>
      <w:r>
        <w:rPr>
          <w:b/>
        </w:rPr>
        <w:t xml:space="preserve">result of pure </w:t>
      </w:r>
      <w:proofErr w:type="spellStart"/>
      <w:r>
        <w:rPr>
          <w:b/>
        </w:rPr>
        <w:t>buy&amp;hold</w:t>
      </w:r>
      <w:proofErr w:type="spellEnd"/>
      <w:r>
        <w:rPr>
          <w:b/>
        </w:rPr>
        <w:t xml:space="preserve"> QQQ strategy is not exactly the same with the result of long QQQ part of the examined insurance strategy</w:t>
      </w:r>
      <w:r>
        <w:t>.</w:t>
      </w:r>
    </w:p>
    <w:p w14:paraId="5C048035" w14:textId="77777777" w:rsidR="00817C1B" w:rsidRDefault="00817C1B">
      <w:pPr>
        <w:jc w:val="both"/>
      </w:pPr>
    </w:p>
    <w:p w14:paraId="33B749D2" w14:textId="77777777" w:rsidR="00817C1B" w:rsidRDefault="00392EBA">
      <w:pPr>
        <w:jc w:val="both"/>
      </w:pPr>
      <w:r>
        <w:t xml:space="preserve">However, it is clearly visible that </w:t>
      </w:r>
      <w:r>
        <w:rPr>
          <w:b/>
        </w:rPr>
        <w:t xml:space="preserve">although the insurance strategy has lower CAGR than the pure </w:t>
      </w:r>
      <w:proofErr w:type="spellStart"/>
      <w:r>
        <w:rPr>
          <w:b/>
        </w:rPr>
        <w:t>buy&amp;hold</w:t>
      </w:r>
      <w:proofErr w:type="spellEnd"/>
      <w:r>
        <w:rPr>
          <w:b/>
        </w:rPr>
        <w:t xml:space="preserve"> strategy, it</w:t>
      </w:r>
      <w:r>
        <w:rPr>
          <w:b/>
        </w:rPr>
        <w:t xml:space="preserve"> has slightly better Sharpe- and MAR-ratio and lower maximum drawdown</w:t>
      </w:r>
      <w:r>
        <w:t>. It has to be emphasized again (as we did it in our previous study, see ‘Previous Expectations’ part of the Background chapter) that:</w:t>
      </w:r>
    </w:p>
    <w:p w14:paraId="1997CB98" w14:textId="77777777" w:rsidR="00817C1B" w:rsidRDefault="00392EBA">
      <w:pPr>
        <w:numPr>
          <w:ilvl w:val="0"/>
          <w:numId w:val="7"/>
        </w:numPr>
        <w:spacing w:before="120" w:line="273" w:lineRule="auto"/>
        <w:jc w:val="both"/>
      </w:pPr>
      <w:r>
        <w:rPr>
          <w:i/>
          <w:color w:val="0000FF"/>
        </w:rPr>
        <w:t xml:space="preserve">‘we </w:t>
      </w:r>
      <w:r>
        <w:rPr>
          <w:b/>
          <w:i/>
          <w:color w:val="0000FF"/>
        </w:rPr>
        <w:t>should not have excessive expectations with rega</w:t>
      </w:r>
      <w:r>
        <w:rPr>
          <w:b/>
          <w:i/>
          <w:color w:val="0000FF"/>
        </w:rPr>
        <w:t>rd to the profitability (CAGR) of this insurance strategy</w:t>
      </w:r>
      <w:r>
        <w:rPr>
          <w:i/>
          <w:color w:val="0000FF"/>
        </w:rPr>
        <w:t xml:space="preserve">: </w:t>
      </w:r>
      <w:r>
        <w:rPr>
          <w:b/>
          <w:i/>
          <w:color w:val="0000FF"/>
        </w:rPr>
        <w:t>QQQ has moved up about +240%</w:t>
      </w:r>
      <w:r>
        <w:rPr>
          <w:i/>
          <w:color w:val="0000FF"/>
        </w:rPr>
        <w:t xml:space="preserve"> in the examined period (from 2011-03-23 until 2018-08-31) </w:t>
      </w:r>
      <w:r>
        <w:rPr>
          <w:b/>
          <w:i/>
          <w:color w:val="0000FF"/>
        </w:rPr>
        <w:t>without really significant corrections</w:t>
      </w:r>
      <w:r>
        <w:rPr>
          <w:i/>
          <w:color w:val="0000FF"/>
        </w:rPr>
        <w:t xml:space="preserve"> (maximum drawdown is only 16.36%). And since it is an ‘insurance strate</w:t>
      </w:r>
      <w:r>
        <w:rPr>
          <w:i/>
          <w:color w:val="0000FF"/>
        </w:rPr>
        <w:t xml:space="preserve">gy’, </w:t>
      </w:r>
      <w:r>
        <w:rPr>
          <w:b/>
          <w:i/>
          <w:color w:val="0000FF"/>
        </w:rPr>
        <w:t>it is expected to perform better in ‘difficult times’</w:t>
      </w:r>
      <w:r>
        <w:rPr>
          <w:i/>
          <w:color w:val="0000FF"/>
        </w:rPr>
        <w:t xml:space="preserve">.’ </w:t>
      </w:r>
      <w:r>
        <w:t xml:space="preserve">and </w:t>
      </w:r>
    </w:p>
    <w:p w14:paraId="6F6A3293" w14:textId="77777777" w:rsidR="00817C1B" w:rsidRDefault="00392EBA">
      <w:pPr>
        <w:numPr>
          <w:ilvl w:val="0"/>
          <w:numId w:val="7"/>
        </w:numPr>
        <w:spacing w:before="120" w:line="273" w:lineRule="auto"/>
        <w:jc w:val="both"/>
        <w:rPr>
          <w:i/>
        </w:rPr>
      </w:pPr>
      <w:r>
        <w:rPr>
          <w:b/>
          <w:i/>
          <w:color w:val="0000FF"/>
        </w:rPr>
        <w:t xml:space="preserve">‘any put option buying protection strategy could perform well in case of highly volatile (in which case the 'Put option' part earns money) and/or trending market (in an </w:t>
      </w:r>
      <w:proofErr w:type="spellStart"/>
      <w:r>
        <w:rPr>
          <w:b/>
          <w:i/>
          <w:color w:val="0000FF"/>
        </w:rPr>
        <w:t>uptrending</w:t>
      </w:r>
      <w:proofErr w:type="spellEnd"/>
      <w:r>
        <w:rPr>
          <w:b/>
          <w:i/>
          <w:color w:val="0000FF"/>
        </w:rPr>
        <w:t xml:space="preserve"> market the</w:t>
      </w:r>
      <w:r>
        <w:rPr>
          <w:b/>
          <w:i/>
          <w:color w:val="0000FF"/>
        </w:rPr>
        <w:t xml:space="preserve"> 'stock' part earns significant money) but do awfully in case of sideways market (when the stock part doesn't earn money and the 'Put option' part loses money).</w:t>
      </w:r>
      <w:r>
        <w:rPr>
          <w:i/>
          <w:color w:val="0000FF"/>
        </w:rPr>
        <w:t xml:space="preserve"> Fortunately, looking at Chart 1 again,</w:t>
      </w:r>
      <w:r>
        <w:rPr>
          <w:b/>
          <w:i/>
          <w:color w:val="0000FF"/>
        </w:rPr>
        <w:t xml:space="preserve"> from 2011 to 2018, typically QQQ was mean-reverting (the</w:t>
      </w:r>
      <w:r>
        <w:rPr>
          <w:b/>
          <w:i/>
          <w:color w:val="0000FF"/>
        </w:rPr>
        <w:t>refore moderately volatile) in short-term and trend following in long-term. It should be true most of the time outside of this examined period as well</w:t>
      </w:r>
      <w:r>
        <w:rPr>
          <w:i/>
          <w:color w:val="0000FF"/>
        </w:rPr>
        <w:t>.’</w:t>
      </w:r>
    </w:p>
    <w:p w14:paraId="58231F9F" w14:textId="77777777" w:rsidR="00817C1B" w:rsidRDefault="00817C1B">
      <w:pPr>
        <w:jc w:val="center"/>
        <w:rPr>
          <w:sz w:val="18"/>
          <w:szCs w:val="18"/>
        </w:rPr>
      </w:pPr>
    </w:p>
    <w:p w14:paraId="5680F818" w14:textId="77777777" w:rsidR="00817C1B" w:rsidRDefault="00392EBA">
      <w:pPr>
        <w:jc w:val="both"/>
        <w:rPr>
          <w:sz w:val="18"/>
          <w:szCs w:val="18"/>
        </w:rPr>
      </w:pPr>
      <w:r>
        <w:rPr>
          <w:b/>
        </w:rPr>
        <w:t xml:space="preserve">All in all, we still believe in this strategy and recommend this kind of portfolio insurance for real </w:t>
      </w:r>
      <w:r>
        <w:rPr>
          <w:b/>
        </w:rPr>
        <w:t xml:space="preserve">life trading. </w:t>
      </w:r>
      <w:r>
        <w:t>In the next section, we are digging deeper into this strategy.</w:t>
      </w:r>
    </w:p>
    <w:p w14:paraId="2CBA88B0" w14:textId="77777777" w:rsidR="00817C1B" w:rsidRDefault="00817C1B">
      <w:pPr>
        <w:jc w:val="both"/>
        <w:rPr>
          <w:sz w:val="18"/>
          <w:szCs w:val="18"/>
        </w:rPr>
      </w:pPr>
    </w:p>
    <w:p w14:paraId="0B1A84DC" w14:textId="77777777" w:rsidR="00817C1B" w:rsidRDefault="00392EBA">
      <w:pPr>
        <w:jc w:val="center"/>
        <w:rPr>
          <w:sz w:val="18"/>
          <w:szCs w:val="18"/>
        </w:rPr>
      </w:pPr>
      <w:r>
        <w:br w:type="page"/>
      </w:r>
    </w:p>
    <w:p w14:paraId="136792E3" w14:textId="77777777" w:rsidR="00817C1B" w:rsidRDefault="00392EBA">
      <w:pPr>
        <w:jc w:val="center"/>
        <w:rPr>
          <w:sz w:val="18"/>
          <w:szCs w:val="18"/>
        </w:rPr>
      </w:pPr>
      <w:r>
        <w:rPr>
          <w:sz w:val="18"/>
          <w:szCs w:val="18"/>
        </w:rPr>
        <w:lastRenderedPageBreak/>
        <w:t>Chart 3: PV of QQQ Put Option Insurance Strategy</w:t>
      </w:r>
    </w:p>
    <w:p w14:paraId="077AD354" w14:textId="77777777" w:rsidR="00817C1B" w:rsidRDefault="00392EBA">
      <w:pPr>
        <w:jc w:val="center"/>
        <w:rPr>
          <w:sz w:val="18"/>
          <w:szCs w:val="18"/>
        </w:rPr>
      </w:pPr>
      <w:r>
        <w:rPr>
          <w:noProof/>
          <w:sz w:val="18"/>
          <w:szCs w:val="18"/>
        </w:rPr>
        <w:drawing>
          <wp:inline distT="114300" distB="114300" distL="114300" distR="114300" wp14:anchorId="7B5751C9" wp14:editId="5FE980E8">
            <wp:extent cx="7052400" cy="4279900"/>
            <wp:effectExtent l="0" t="0" r="0" b="0"/>
            <wp:docPr id="84" name="image84.png"/>
            <wp:cNvGraphicFramePr/>
            <a:graphic xmlns:a="http://schemas.openxmlformats.org/drawingml/2006/main">
              <a:graphicData uri="http://schemas.openxmlformats.org/drawingml/2006/picture">
                <pic:pic xmlns:pic="http://schemas.openxmlformats.org/drawingml/2006/picture">
                  <pic:nvPicPr>
                    <pic:cNvPr id="0" name="image84.png"/>
                    <pic:cNvPicPr preferRelativeResize="0"/>
                  </pic:nvPicPr>
                  <pic:blipFill>
                    <a:blip r:embed="rId19"/>
                    <a:srcRect/>
                    <a:stretch>
                      <a:fillRect/>
                    </a:stretch>
                  </pic:blipFill>
                  <pic:spPr>
                    <a:xfrm>
                      <a:off x="0" y="0"/>
                      <a:ext cx="7052400" cy="4279900"/>
                    </a:xfrm>
                    <a:prstGeom prst="rect">
                      <a:avLst/>
                    </a:prstGeom>
                    <a:ln/>
                  </pic:spPr>
                </pic:pic>
              </a:graphicData>
            </a:graphic>
          </wp:inline>
        </w:drawing>
      </w:r>
    </w:p>
    <w:p w14:paraId="0E09EE39" w14:textId="77777777" w:rsidR="00817C1B" w:rsidRDefault="00817C1B">
      <w:pPr>
        <w:jc w:val="center"/>
        <w:rPr>
          <w:sz w:val="18"/>
          <w:szCs w:val="18"/>
        </w:rPr>
      </w:pPr>
    </w:p>
    <w:p w14:paraId="2E04B6BB" w14:textId="77777777" w:rsidR="00817C1B" w:rsidRDefault="00392EBA">
      <w:pPr>
        <w:jc w:val="center"/>
        <w:rPr>
          <w:sz w:val="18"/>
          <w:szCs w:val="18"/>
        </w:rPr>
      </w:pPr>
      <w:r>
        <w:rPr>
          <w:sz w:val="18"/>
          <w:szCs w:val="18"/>
        </w:rPr>
        <w:t>Chart 3a: PV of QQQ Put Option Insurance Strategy - logarithmic scale</w:t>
      </w:r>
    </w:p>
    <w:p w14:paraId="05E2FC5A" w14:textId="77777777" w:rsidR="00817C1B" w:rsidRDefault="00392EBA">
      <w:pPr>
        <w:jc w:val="center"/>
        <w:rPr>
          <w:sz w:val="18"/>
          <w:szCs w:val="18"/>
        </w:rPr>
      </w:pPr>
      <w:r>
        <w:rPr>
          <w:noProof/>
          <w:sz w:val="18"/>
          <w:szCs w:val="18"/>
        </w:rPr>
        <w:drawing>
          <wp:inline distT="114300" distB="114300" distL="114300" distR="114300" wp14:anchorId="1C032BE9" wp14:editId="40B84523">
            <wp:extent cx="7052400" cy="4279900"/>
            <wp:effectExtent l="0" t="0" r="0" b="0"/>
            <wp:docPr id="22"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20"/>
                    <a:srcRect/>
                    <a:stretch>
                      <a:fillRect/>
                    </a:stretch>
                  </pic:blipFill>
                  <pic:spPr>
                    <a:xfrm>
                      <a:off x="0" y="0"/>
                      <a:ext cx="7052400" cy="4279900"/>
                    </a:xfrm>
                    <a:prstGeom prst="rect">
                      <a:avLst/>
                    </a:prstGeom>
                    <a:ln/>
                  </pic:spPr>
                </pic:pic>
              </a:graphicData>
            </a:graphic>
          </wp:inline>
        </w:drawing>
      </w:r>
    </w:p>
    <w:p w14:paraId="6FF7C90E" w14:textId="77777777" w:rsidR="00817C1B" w:rsidRDefault="00817C1B">
      <w:pPr>
        <w:jc w:val="center"/>
        <w:rPr>
          <w:sz w:val="18"/>
          <w:szCs w:val="18"/>
        </w:rPr>
      </w:pPr>
    </w:p>
    <w:p w14:paraId="0FE91F6A" w14:textId="77777777" w:rsidR="00817C1B" w:rsidRDefault="00392EBA">
      <w:pPr>
        <w:jc w:val="center"/>
        <w:rPr>
          <w:sz w:val="18"/>
          <w:szCs w:val="18"/>
        </w:rPr>
      </w:pPr>
      <w:r>
        <w:rPr>
          <w:sz w:val="18"/>
          <w:szCs w:val="18"/>
        </w:rPr>
        <w:t xml:space="preserve">Table 2a: Performance indicators of </w:t>
      </w:r>
      <w:proofErr w:type="spellStart"/>
      <w:r>
        <w:rPr>
          <w:sz w:val="18"/>
          <w:szCs w:val="18"/>
        </w:rPr>
        <w:t>Buy&amp;Hold</w:t>
      </w:r>
      <w:proofErr w:type="spellEnd"/>
      <w:r>
        <w:rPr>
          <w:sz w:val="18"/>
          <w:szCs w:val="18"/>
        </w:rPr>
        <w:t xml:space="preserve"> QQQ</w:t>
      </w:r>
    </w:p>
    <w:p w14:paraId="7D66ECC3" w14:textId="77777777" w:rsidR="00817C1B" w:rsidRDefault="00392EBA">
      <w:pPr>
        <w:jc w:val="center"/>
        <w:rPr>
          <w:sz w:val="18"/>
          <w:szCs w:val="18"/>
        </w:rPr>
      </w:pPr>
      <w:r>
        <w:rPr>
          <w:noProof/>
          <w:sz w:val="18"/>
          <w:szCs w:val="18"/>
        </w:rPr>
        <w:drawing>
          <wp:inline distT="114300" distB="114300" distL="114300" distR="114300" wp14:anchorId="78413218" wp14:editId="782BAF83">
            <wp:extent cx="6858000" cy="2600325"/>
            <wp:effectExtent l="0" t="0" r="0" b="0"/>
            <wp:docPr id="133"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1"/>
                    <a:srcRect/>
                    <a:stretch>
                      <a:fillRect/>
                    </a:stretch>
                  </pic:blipFill>
                  <pic:spPr>
                    <a:xfrm>
                      <a:off x="0" y="0"/>
                      <a:ext cx="6858000" cy="2600325"/>
                    </a:xfrm>
                    <a:prstGeom prst="rect">
                      <a:avLst/>
                    </a:prstGeom>
                    <a:ln/>
                  </pic:spPr>
                </pic:pic>
              </a:graphicData>
            </a:graphic>
          </wp:inline>
        </w:drawing>
      </w:r>
    </w:p>
    <w:p w14:paraId="7095EB13" w14:textId="77777777" w:rsidR="00817C1B" w:rsidRDefault="00817C1B">
      <w:pPr>
        <w:jc w:val="center"/>
        <w:rPr>
          <w:sz w:val="18"/>
          <w:szCs w:val="18"/>
        </w:rPr>
      </w:pPr>
    </w:p>
    <w:p w14:paraId="42682A05" w14:textId="77777777" w:rsidR="00817C1B" w:rsidRDefault="00817C1B">
      <w:pPr>
        <w:jc w:val="center"/>
        <w:rPr>
          <w:sz w:val="18"/>
          <w:szCs w:val="18"/>
        </w:rPr>
      </w:pPr>
    </w:p>
    <w:p w14:paraId="3120CDDF" w14:textId="77777777" w:rsidR="00817C1B" w:rsidRDefault="00392EBA">
      <w:pPr>
        <w:jc w:val="center"/>
        <w:rPr>
          <w:sz w:val="18"/>
          <w:szCs w:val="18"/>
        </w:rPr>
      </w:pPr>
      <w:r>
        <w:rPr>
          <w:sz w:val="18"/>
          <w:szCs w:val="18"/>
        </w:rPr>
        <w:t>Table 2b: Performance indicators of QQQ Put Option Insurance Strategy - (long stock + long put option)</w:t>
      </w:r>
    </w:p>
    <w:p w14:paraId="5286A580" w14:textId="77777777" w:rsidR="00817C1B" w:rsidRDefault="00392EBA">
      <w:pPr>
        <w:jc w:val="center"/>
        <w:rPr>
          <w:sz w:val="18"/>
          <w:szCs w:val="18"/>
        </w:rPr>
      </w:pPr>
      <w:r>
        <w:rPr>
          <w:noProof/>
          <w:sz w:val="18"/>
          <w:szCs w:val="18"/>
        </w:rPr>
        <w:drawing>
          <wp:inline distT="114300" distB="114300" distL="114300" distR="114300" wp14:anchorId="3EF92AE7" wp14:editId="77EFB290">
            <wp:extent cx="6858000" cy="2590800"/>
            <wp:effectExtent l="0" t="0" r="0" b="0"/>
            <wp:docPr id="108" name="image83.png"/>
            <wp:cNvGraphicFramePr/>
            <a:graphic xmlns:a="http://schemas.openxmlformats.org/drawingml/2006/main">
              <a:graphicData uri="http://schemas.openxmlformats.org/drawingml/2006/picture">
                <pic:pic xmlns:pic="http://schemas.openxmlformats.org/drawingml/2006/picture">
                  <pic:nvPicPr>
                    <pic:cNvPr id="0" name="image83.png"/>
                    <pic:cNvPicPr preferRelativeResize="0"/>
                  </pic:nvPicPr>
                  <pic:blipFill>
                    <a:blip r:embed="rId22"/>
                    <a:srcRect/>
                    <a:stretch>
                      <a:fillRect/>
                    </a:stretch>
                  </pic:blipFill>
                  <pic:spPr>
                    <a:xfrm>
                      <a:off x="0" y="0"/>
                      <a:ext cx="6858000" cy="2590800"/>
                    </a:xfrm>
                    <a:prstGeom prst="rect">
                      <a:avLst/>
                    </a:prstGeom>
                    <a:ln/>
                  </pic:spPr>
                </pic:pic>
              </a:graphicData>
            </a:graphic>
          </wp:inline>
        </w:drawing>
      </w:r>
    </w:p>
    <w:p w14:paraId="1287EFE7" w14:textId="77777777" w:rsidR="00817C1B" w:rsidRDefault="00817C1B">
      <w:pPr>
        <w:jc w:val="center"/>
        <w:rPr>
          <w:sz w:val="18"/>
          <w:szCs w:val="18"/>
        </w:rPr>
      </w:pPr>
    </w:p>
    <w:p w14:paraId="040B2094" w14:textId="77777777" w:rsidR="00817C1B" w:rsidRDefault="00817C1B">
      <w:pPr>
        <w:jc w:val="center"/>
        <w:rPr>
          <w:sz w:val="18"/>
          <w:szCs w:val="18"/>
        </w:rPr>
      </w:pPr>
    </w:p>
    <w:p w14:paraId="39ED6EF6" w14:textId="77777777" w:rsidR="00817C1B" w:rsidRDefault="00392EBA">
      <w:pPr>
        <w:jc w:val="center"/>
        <w:rPr>
          <w:sz w:val="18"/>
          <w:szCs w:val="18"/>
        </w:rPr>
      </w:pPr>
      <w:r>
        <w:rPr>
          <w:sz w:val="18"/>
          <w:szCs w:val="18"/>
        </w:rPr>
        <w:t>Table 2c: Performance indicators of QQQ Put Option Insurance Strategy long stock part</w:t>
      </w:r>
    </w:p>
    <w:p w14:paraId="64C698C0" w14:textId="77777777" w:rsidR="00817C1B" w:rsidRDefault="00392EBA">
      <w:pPr>
        <w:jc w:val="center"/>
        <w:rPr>
          <w:sz w:val="18"/>
          <w:szCs w:val="18"/>
        </w:rPr>
      </w:pPr>
      <w:r>
        <w:rPr>
          <w:noProof/>
          <w:sz w:val="18"/>
          <w:szCs w:val="18"/>
        </w:rPr>
        <w:drawing>
          <wp:inline distT="114300" distB="114300" distL="114300" distR="114300" wp14:anchorId="41A22590" wp14:editId="0487EAD8">
            <wp:extent cx="6858000" cy="2590800"/>
            <wp:effectExtent l="0" t="0" r="0" b="0"/>
            <wp:docPr id="33" name="image37.png"/>
            <wp:cNvGraphicFramePr/>
            <a:graphic xmlns:a="http://schemas.openxmlformats.org/drawingml/2006/main">
              <a:graphicData uri="http://schemas.openxmlformats.org/drawingml/2006/picture">
                <pic:pic xmlns:pic="http://schemas.openxmlformats.org/drawingml/2006/picture">
                  <pic:nvPicPr>
                    <pic:cNvPr id="0" name="image37.png"/>
                    <pic:cNvPicPr preferRelativeResize="0"/>
                  </pic:nvPicPr>
                  <pic:blipFill>
                    <a:blip r:embed="rId23"/>
                    <a:srcRect/>
                    <a:stretch>
                      <a:fillRect/>
                    </a:stretch>
                  </pic:blipFill>
                  <pic:spPr>
                    <a:xfrm>
                      <a:off x="0" y="0"/>
                      <a:ext cx="6858000" cy="2590800"/>
                    </a:xfrm>
                    <a:prstGeom prst="rect">
                      <a:avLst/>
                    </a:prstGeom>
                    <a:ln/>
                  </pic:spPr>
                </pic:pic>
              </a:graphicData>
            </a:graphic>
          </wp:inline>
        </w:drawing>
      </w:r>
    </w:p>
    <w:p w14:paraId="31DEDF3C" w14:textId="77777777" w:rsidR="00817C1B" w:rsidRDefault="00817C1B">
      <w:pPr>
        <w:jc w:val="center"/>
        <w:rPr>
          <w:sz w:val="18"/>
          <w:szCs w:val="18"/>
        </w:rPr>
      </w:pPr>
    </w:p>
    <w:p w14:paraId="4E26C056" w14:textId="77777777" w:rsidR="00817C1B" w:rsidRDefault="00392EBA">
      <w:pPr>
        <w:jc w:val="center"/>
        <w:rPr>
          <w:sz w:val="18"/>
          <w:szCs w:val="18"/>
        </w:rPr>
      </w:pPr>
      <w:r>
        <w:rPr>
          <w:sz w:val="18"/>
          <w:szCs w:val="18"/>
        </w:rPr>
        <w:t>Table 2d: Performance indicators of QQQ Put Option Insurance Strategy put option part</w:t>
      </w:r>
    </w:p>
    <w:p w14:paraId="3FAD7E48" w14:textId="77777777" w:rsidR="00817C1B" w:rsidRDefault="00392EBA">
      <w:pPr>
        <w:jc w:val="center"/>
        <w:rPr>
          <w:sz w:val="18"/>
          <w:szCs w:val="18"/>
        </w:rPr>
      </w:pPr>
      <w:r>
        <w:rPr>
          <w:noProof/>
          <w:sz w:val="18"/>
          <w:szCs w:val="18"/>
        </w:rPr>
        <w:drawing>
          <wp:inline distT="114300" distB="114300" distL="114300" distR="114300" wp14:anchorId="6D4918AA" wp14:editId="28441471">
            <wp:extent cx="6858000" cy="2590800"/>
            <wp:effectExtent l="0" t="0" r="0" b="0"/>
            <wp:docPr id="116" name="image108.png"/>
            <wp:cNvGraphicFramePr/>
            <a:graphic xmlns:a="http://schemas.openxmlformats.org/drawingml/2006/main">
              <a:graphicData uri="http://schemas.openxmlformats.org/drawingml/2006/picture">
                <pic:pic xmlns:pic="http://schemas.openxmlformats.org/drawingml/2006/picture">
                  <pic:nvPicPr>
                    <pic:cNvPr id="0" name="image108.png"/>
                    <pic:cNvPicPr preferRelativeResize="0"/>
                  </pic:nvPicPr>
                  <pic:blipFill>
                    <a:blip r:embed="rId24"/>
                    <a:srcRect/>
                    <a:stretch>
                      <a:fillRect/>
                    </a:stretch>
                  </pic:blipFill>
                  <pic:spPr>
                    <a:xfrm>
                      <a:off x="0" y="0"/>
                      <a:ext cx="6858000" cy="2590800"/>
                    </a:xfrm>
                    <a:prstGeom prst="rect">
                      <a:avLst/>
                    </a:prstGeom>
                    <a:ln/>
                  </pic:spPr>
                </pic:pic>
              </a:graphicData>
            </a:graphic>
          </wp:inline>
        </w:drawing>
      </w:r>
    </w:p>
    <w:p w14:paraId="7DD25E3A" w14:textId="77777777" w:rsidR="00817C1B" w:rsidRDefault="00392EBA">
      <w:pPr>
        <w:jc w:val="center"/>
        <w:rPr>
          <w:sz w:val="18"/>
          <w:szCs w:val="18"/>
        </w:rPr>
      </w:pPr>
      <w:r>
        <w:br w:type="page"/>
      </w:r>
    </w:p>
    <w:p w14:paraId="0A75E19E" w14:textId="77777777" w:rsidR="00817C1B" w:rsidRDefault="00392EBA">
      <w:pPr>
        <w:pStyle w:val="Heading2"/>
        <w:rPr>
          <w:color w:val="4A86E8"/>
          <w:sz w:val="28"/>
          <w:szCs w:val="28"/>
        </w:rPr>
      </w:pPr>
      <w:bookmarkStart w:id="6" w:name="_3qnxdbxrgvt4" w:colFirst="0" w:colLast="0"/>
      <w:bookmarkEnd w:id="6"/>
      <w:r>
        <w:rPr>
          <w:color w:val="4A86E8"/>
          <w:sz w:val="28"/>
          <w:szCs w:val="28"/>
        </w:rPr>
        <w:lastRenderedPageBreak/>
        <w:t>Digging deeper into the QQQ Put Option Insurance Strategy</w:t>
      </w:r>
    </w:p>
    <w:p w14:paraId="675D1854" w14:textId="77777777" w:rsidR="00817C1B" w:rsidRDefault="00817C1B"/>
    <w:p w14:paraId="797B359D" w14:textId="77777777" w:rsidR="00817C1B" w:rsidRDefault="00392EBA">
      <w:pPr>
        <w:pStyle w:val="Heading3"/>
        <w:jc w:val="both"/>
        <w:rPr>
          <w:color w:val="741B47"/>
        </w:rPr>
      </w:pPr>
      <w:bookmarkStart w:id="7" w:name="_7lpr7bmfxz0a" w:colFirst="0" w:colLast="0"/>
      <w:bookmarkEnd w:id="7"/>
      <w:r>
        <w:rPr>
          <w:color w:val="741B47"/>
        </w:rPr>
        <w:t>The Effect of Volatility on QQQ Put Option Insurance Strategy</w:t>
      </w:r>
    </w:p>
    <w:p w14:paraId="06C4C5D8" w14:textId="77777777" w:rsidR="00817C1B" w:rsidRDefault="00817C1B"/>
    <w:p w14:paraId="45E6A20C" w14:textId="77777777" w:rsidR="00817C1B" w:rsidRDefault="00392EBA">
      <w:pPr>
        <w:jc w:val="both"/>
      </w:pPr>
      <w:r>
        <w:t xml:space="preserve">A sharp-eyed investor may wonder to </w:t>
      </w:r>
      <w:r>
        <w:rPr>
          <w:b/>
        </w:rPr>
        <w:t>what extent the success of this put option insurance strategy depends on market volatility</w:t>
      </w:r>
      <w:r>
        <w:t xml:space="preserve">: </w:t>
      </w:r>
      <w:r>
        <w:rPr>
          <w:i/>
          <w:color w:val="0000FF"/>
        </w:rPr>
        <w:t>‘It would be intuitive to think that the strategy success is correlated to Volatility but when Vol is high the put option cost c</w:t>
      </w:r>
      <w:r>
        <w:rPr>
          <w:i/>
          <w:color w:val="0000FF"/>
        </w:rPr>
        <w:t>an be prohibitive.’</w:t>
      </w:r>
      <w:r>
        <w:rPr>
          <w:vertAlign w:val="superscript"/>
        </w:rPr>
        <w:footnoteReference w:id="3"/>
      </w:r>
      <w:r>
        <w:t xml:space="preserve"> </w:t>
      </w:r>
    </w:p>
    <w:p w14:paraId="3BE37123" w14:textId="77777777" w:rsidR="00817C1B" w:rsidRDefault="00392EBA">
      <w:pPr>
        <w:jc w:val="both"/>
      </w:pPr>
      <w:r>
        <w:t xml:space="preserve">In this subsection, </w:t>
      </w:r>
      <w:r>
        <w:rPr>
          <w:b/>
        </w:rPr>
        <w:t>the cost and profitability of our QQQ Put Option Insurance Strategy as a function of volatility</w:t>
      </w:r>
      <w:r>
        <w:t xml:space="preserve"> is presented.</w:t>
      </w:r>
    </w:p>
    <w:p w14:paraId="1F783032" w14:textId="77777777" w:rsidR="00817C1B" w:rsidRDefault="00817C1B">
      <w:pPr>
        <w:jc w:val="both"/>
      </w:pPr>
    </w:p>
    <w:p w14:paraId="60DDB7E4" w14:textId="77777777" w:rsidR="00817C1B" w:rsidRDefault="00392EBA">
      <w:pPr>
        <w:jc w:val="both"/>
      </w:pPr>
      <w:r>
        <w:t xml:space="preserve">At first, check </w:t>
      </w:r>
      <w:r>
        <w:rPr>
          <w:b/>
        </w:rPr>
        <w:t>how the put price is influenced by market (historical) volatility</w:t>
      </w:r>
      <w:r>
        <w:t>. Chart 4 shows the c</w:t>
      </w:r>
      <w:r>
        <w:t>onnection between the price of required amount of put options (as a function of invested percentage of PV) and the 20-day historical volatility of QQQ. It can be clearly seen that</w:t>
      </w:r>
      <w:r>
        <w:rPr>
          <w:b/>
        </w:rPr>
        <w:t xml:space="preserve"> the relationship is strong, as the R</w:t>
      </w:r>
      <w:r>
        <w:rPr>
          <w:b/>
          <w:vertAlign w:val="superscript"/>
        </w:rPr>
        <w:t>2</w:t>
      </w:r>
      <w:r>
        <w:rPr>
          <w:b/>
        </w:rPr>
        <w:t xml:space="preserve"> is 0.5621</w:t>
      </w:r>
      <w:r>
        <w:t xml:space="preserve"> (and thus the correlation co</w:t>
      </w:r>
      <w:r>
        <w:t xml:space="preserve">efficient </w:t>
      </w:r>
      <w:r>
        <w:rPr>
          <w:b/>
          <w:i/>
        </w:rPr>
        <w:t>r</w:t>
      </w:r>
      <w:r>
        <w:rPr>
          <w:b/>
        </w:rPr>
        <w:t xml:space="preserve"> is +0.75</w:t>
      </w:r>
      <w:r>
        <w:t xml:space="preserve">). It means that </w:t>
      </w:r>
      <w:r>
        <w:rPr>
          <w:b/>
        </w:rPr>
        <w:t>the higher the market volatility is at the moment of buying option, the higher the price of the put option</w:t>
      </w:r>
      <w:r>
        <w:t>: it goes</w:t>
      </w:r>
      <w:r>
        <w:rPr>
          <w:b/>
        </w:rPr>
        <w:t xml:space="preserve"> from 1–1.5% to 3–4% of the total PV</w:t>
      </w:r>
      <w:r>
        <w:rPr>
          <w:b/>
          <w:vertAlign w:val="superscript"/>
        </w:rPr>
        <w:footnoteReference w:id="4"/>
      </w:r>
      <w:r>
        <w:t xml:space="preserve">. It is worth noting that this </w:t>
      </w:r>
      <w:r>
        <w:rPr>
          <w:b/>
        </w:rPr>
        <w:t xml:space="preserve">result is not surprising. Based on </w:t>
      </w:r>
      <w:r>
        <w:rPr>
          <w:b/>
        </w:rPr>
        <w:t>the Black-Scholes equation</w:t>
      </w:r>
      <w:r>
        <w:t xml:space="preserve"> used for option pricing, the </w:t>
      </w:r>
      <w:r>
        <w:rPr>
          <w:b/>
        </w:rPr>
        <w:t>option price</w:t>
      </w:r>
      <w:r>
        <w:t xml:space="preserve"> is a </w:t>
      </w:r>
      <w:r>
        <w:rPr>
          <w:b/>
        </w:rPr>
        <w:t>positive function of implied volatility</w:t>
      </w:r>
      <w:r>
        <w:t xml:space="preserve"> (IV), for which the historical volatility (HV) is the simplest proxy.    </w:t>
      </w:r>
    </w:p>
    <w:p w14:paraId="34E49BD7" w14:textId="77777777" w:rsidR="00817C1B" w:rsidRDefault="00817C1B">
      <w:pPr>
        <w:jc w:val="both"/>
      </w:pPr>
    </w:p>
    <w:p w14:paraId="413B642B" w14:textId="77777777" w:rsidR="00817C1B" w:rsidRDefault="00392EBA">
      <w:pPr>
        <w:jc w:val="center"/>
        <w:rPr>
          <w:sz w:val="18"/>
          <w:szCs w:val="18"/>
        </w:rPr>
      </w:pPr>
      <w:r>
        <w:rPr>
          <w:sz w:val="18"/>
          <w:szCs w:val="18"/>
        </w:rPr>
        <w:t>Chart 4: Invested Percentage vs. 20-day HV of QQQ</w:t>
      </w:r>
    </w:p>
    <w:p w14:paraId="1E7E9007" w14:textId="77777777" w:rsidR="00817C1B" w:rsidRDefault="00392EBA">
      <w:pPr>
        <w:jc w:val="center"/>
        <w:rPr>
          <w:sz w:val="18"/>
          <w:szCs w:val="18"/>
        </w:rPr>
      </w:pPr>
      <w:r>
        <w:rPr>
          <w:noProof/>
          <w:sz w:val="18"/>
          <w:szCs w:val="18"/>
        </w:rPr>
        <w:drawing>
          <wp:inline distT="114300" distB="114300" distL="114300" distR="114300" wp14:anchorId="56D0EF11" wp14:editId="28704BF9">
            <wp:extent cx="7052400" cy="4724400"/>
            <wp:effectExtent l="0" t="0" r="0" b="0"/>
            <wp:docPr id="114" name="image120.png"/>
            <wp:cNvGraphicFramePr/>
            <a:graphic xmlns:a="http://schemas.openxmlformats.org/drawingml/2006/main">
              <a:graphicData uri="http://schemas.openxmlformats.org/drawingml/2006/picture">
                <pic:pic xmlns:pic="http://schemas.openxmlformats.org/drawingml/2006/picture">
                  <pic:nvPicPr>
                    <pic:cNvPr id="0" name="image120.png"/>
                    <pic:cNvPicPr preferRelativeResize="0"/>
                  </pic:nvPicPr>
                  <pic:blipFill>
                    <a:blip r:embed="rId25"/>
                    <a:srcRect/>
                    <a:stretch>
                      <a:fillRect/>
                    </a:stretch>
                  </pic:blipFill>
                  <pic:spPr>
                    <a:xfrm>
                      <a:off x="0" y="0"/>
                      <a:ext cx="7052400" cy="4724400"/>
                    </a:xfrm>
                    <a:prstGeom prst="rect">
                      <a:avLst/>
                    </a:prstGeom>
                    <a:ln/>
                  </pic:spPr>
                </pic:pic>
              </a:graphicData>
            </a:graphic>
          </wp:inline>
        </w:drawing>
      </w:r>
      <w:r>
        <w:br w:type="page"/>
      </w:r>
    </w:p>
    <w:p w14:paraId="78681E2D" w14:textId="77777777" w:rsidR="00817C1B" w:rsidRDefault="00392EBA">
      <w:pPr>
        <w:jc w:val="both"/>
      </w:pPr>
      <w:r>
        <w:lastRenderedPageBreak/>
        <w:t xml:space="preserve">All right, we </w:t>
      </w:r>
      <w:r>
        <w:t>have seen that</w:t>
      </w:r>
      <w:r>
        <w:rPr>
          <w:b/>
        </w:rPr>
        <w:t xml:space="preserve"> options are more expensive to buy when volatility is high</w:t>
      </w:r>
      <w:r>
        <w:t xml:space="preserve">. But someone might be wondering </w:t>
      </w:r>
      <w:r>
        <w:rPr>
          <w:b/>
        </w:rPr>
        <w:t>how this will affect the profitability of the strategy</w:t>
      </w:r>
      <w:r>
        <w:t>.</w:t>
      </w:r>
    </w:p>
    <w:p w14:paraId="4D5AA90C" w14:textId="77777777" w:rsidR="00817C1B" w:rsidRDefault="00817C1B">
      <w:pPr>
        <w:jc w:val="both"/>
      </w:pPr>
    </w:p>
    <w:p w14:paraId="2A13FF36" w14:textId="77777777" w:rsidR="00817C1B" w:rsidRDefault="00392EBA">
      <w:pPr>
        <w:jc w:val="both"/>
        <w:rPr>
          <w:b/>
        </w:rPr>
      </w:pPr>
      <w:r>
        <w:t xml:space="preserve">Chart 5a shows that </w:t>
      </w:r>
      <w:r>
        <w:rPr>
          <w:b/>
        </w:rPr>
        <w:t xml:space="preserve">generally the profit of put option part is lower when HV is higher at the </w:t>
      </w:r>
      <w:r>
        <w:rPr>
          <w:b/>
        </w:rPr>
        <w:t>moment of buying</w:t>
      </w:r>
      <w:r>
        <w:t xml:space="preserve"> </w:t>
      </w:r>
      <w:r>
        <w:rPr>
          <w:b/>
        </w:rPr>
        <w:t>options</w:t>
      </w:r>
      <w:r>
        <w:t xml:space="preserve">. But there are </w:t>
      </w:r>
      <w:r>
        <w:rPr>
          <w:b/>
        </w:rPr>
        <w:t>lots of outliers</w:t>
      </w:r>
      <w:r>
        <w:t xml:space="preserve">, therefore the </w:t>
      </w:r>
      <w:r>
        <w:rPr>
          <w:b/>
        </w:rPr>
        <w:t>correlation is weak</w:t>
      </w:r>
      <w:r>
        <w:t xml:space="preserve"> (R</w:t>
      </w:r>
      <w:r>
        <w:rPr>
          <w:vertAlign w:val="superscript"/>
        </w:rPr>
        <w:t>2</w:t>
      </w:r>
      <w:r>
        <w:t xml:space="preserve"> is 0.0127, so </w:t>
      </w:r>
      <w:r>
        <w:rPr>
          <w:i/>
        </w:rPr>
        <w:t>r</w:t>
      </w:r>
      <w:r>
        <w:t xml:space="preserve">=-0.11). It means that </w:t>
      </w:r>
      <w:r>
        <w:rPr>
          <w:b/>
        </w:rPr>
        <w:t>during a market panic (or correction) QQQ loses much of its value, its HV increases significantly (see Chart 7b), put opti</w:t>
      </w:r>
      <w:r>
        <w:rPr>
          <w:b/>
        </w:rPr>
        <w:t>ons become expensive, the put option part of our strategy becomes profitable, as it can be concluded based on Chart 5b (R</w:t>
      </w:r>
      <w:r>
        <w:rPr>
          <w:b/>
          <w:vertAlign w:val="superscript"/>
        </w:rPr>
        <w:t>2</w:t>
      </w:r>
      <w:r>
        <w:rPr>
          <w:b/>
        </w:rPr>
        <w:t xml:space="preserve"> is 0.1331, so </w:t>
      </w:r>
      <w:r>
        <w:rPr>
          <w:b/>
          <w:i/>
        </w:rPr>
        <w:t>r</w:t>
      </w:r>
      <w:r>
        <w:rPr>
          <w:b/>
        </w:rPr>
        <w:t>=+0.36). However, in most cases the market calms down, QQQ gets stronger again (see Chart 7a), thus put options become</w:t>
      </w:r>
      <w:r>
        <w:rPr>
          <w:b/>
        </w:rPr>
        <w:t xml:space="preserve"> worthless one month later. Nevertheless, there are times when panic continues or turns into a bear market and in this situations the profitability is just the opposite (these are the outliers of the charts). It is worth emphasizing that the effect of the </w:t>
      </w:r>
      <w:r>
        <w:rPr>
          <w:b/>
        </w:rPr>
        <w:t>past month (HV at buy, r=-0.11) is negligible compared to the effect of the current month (HV at sell, r=0.36).</w:t>
      </w:r>
    </w:p>
    <w:p w14:paraId="5C3289E4" w14:textId="77777777" w:rsidR="00817C1B" w:rsidRDefault="00817C1B">
      <w:pPr>
        <w:jc w:val="both"/>
      </w:pPr>
    </w:p>
    <w:p w14:paraId="19E0D06A" w14:textId="77777777" w:rsidR="00817C1B" w:rsidRDefault="00392EBA">
      <w:pPr>
        <w:jc w:val="both"/>
        <w:rPr>
          <w:b/>
        </w:rPr>
      </w:pPr>
      <w:r>
        <w:t xml:space="preserve">What is important for us is the </w:t>
      </w:r>
      <w:r>
        <w:rPr>
          <w:b/>
        </w:rPr>
        <w:t>profitability of the whole strategy</w:t>
      </w:r>
      <w:r>
        <w:t xml:space="preserve">: long QQQ stock + long put option (with 100% insurance exposure). After taking a look at Chart 6a-b, it can be concluded again that </w:t>
      </w:r>
      <w:r>
        <w:rPr>
          <w:b/>
        </w:rPr>
        <w:t>the effect of the past month (HV at buy, R</w:t>
      </w:r>
      <w:r>
        <w:rPr>
          <w:b/>
          <w:vertAlign w:val="superscript"/>
        </w:rPr>
        <w:t>2</w:t>
      </w:r>
      <w:r>
        <w:rPr>
          <w:b/>
        </w:rPr>
        <w:t>=0.0197, r=0.14) is significantly lower compared to the effect of the current mo</w:t>
      </w:r>
      <w:r>
        <w:rPr>
          <w:b/>
        </w:rPr>
        <w:t>nth (HV at sell, R</w:t>
      </w:r>
      <w:r>
        <w:rPr>
          <w:b/>
          <w:vertAlign w:val="superscript"/>
        </w:rPr>
        <w:t>2</w:t>
      </w:r>
      <w:r>
        <w:rPr>
          <w:b/>
        </w:rPr>
        <w:t>=0.0981, r=-0.31)</w:t>
      </w:r>
      <w:r>
        <w:t xml:space="preserve">. Moreover, </w:t>
      </w:r>
      <w:r>
        <w:rPr>
          <w:b/>
        </w:rPr>
        <w:t xml:space="preserve">the direction of the relationship between profitability and HV (past or current) is the opposite of the put option part. It means that the long QQQ stock part is more significant </w:t>
      </w:r>
      <w:proofErr w:type="spellStart"/>
      <w:r>
        <w:rPr>
          <w:b/>
        </w:rPr>
        <w:t>then</w:t>
      </w:r>
      <w:proofErr w:type="spellEnd"/>
      <w:r>
        <w:rPr>
          <w:b/>
        </w:rPr>
        <w:t xml:space="preserve"> the put option part - as</w:t>
      </w:r>
      <w:r>
        <w:rPr>
          <w:b/>
        </w:rPr>
        <w:t xml:space="preserve"> it was expected.</w:t>
      </w:r>
    </w:p>
    <w:p w14:paraId="60A82B27" w14:textId="77777777" w:rsidR="00817C1B" w:rsidRDefault="00817C1B">
      <w:pPr>
        <w:jc w:val="both"/>
        <w:rPr>
          <w:b/>
        </w:rPr>
      </w:pPr>
    </w:p>
    <w:p w14:paraId="2E8C5D4C" w14:textId="77777777" w:rsidR="00817C1B" w:rsidRDefault="00392EBA">
      <w:pPr>
        <w:jc w:val="both"/>
        <w:rPr>
          <w:b/>
        </w:rPr>
      </w:pPr>
      <w:r>
        <w:rPr>
          <w:b/>
        </w:rPr>
        <w:t xml:space="preserve">However, for a risk averse investor, it is even more important that - comparing Chart 6a-b with Chart 7a-b - thanks to the put option part, the possible loss is really limited (about -4% (the cost of option) compared to the ~-14% of </w:t>
      </w:r>
      <w:proofErr w:type="spellStart"/>
      <w:r>
        <w:rPr>
          <w:b/>
        </w:rPr>
        <w:t>buy&amp;</w:t>
      </w:r>
      <w:r>
        <w:rPr>
          <w:b/>
        </w:rPr>
        <w:t>hold</w:t>
      </w:r>
      <w:proofErr w:type="spellEnd"/>
      <w:r>
        <w:rPr>
          <w:b/>
        </w:rPr>
        <w:t xml:space="preserve"> QQQ during hard times), while the profit is not significantly lower (about -2% difference (the cost of option)  when QQQ increases a lot).</w:t>
      </w:r>
    </w:p>
    <w:p w14:paraId="59E3F630" w14:textId="77777777" w:rsidR="00817C1B" w:rsidRDefault="00817C1B">
      <w:pPr>
        <w:jc w:val="both"/>
        <w:rPr>
          <w:b/>
        </w:rPr>
      </w:pPr>
    </w:p>
    <w:p w14:paraId="19687784" w14:textId="77777777" w:rsidR="00817C1B" w:rsidRDefault="00392EBA">
      <w:pPr>
        <w:jc w:val="center"/>
      </w:pPr>
      <w:r>
        <w:rPr>
          <w:sz w:val="18"/>
          <w:szCs w:val="18"/>
        </w:rPr>
        <w:t>Chart 5a: Profit of Put Option Part vs. 20-day HV of QQQ at the moment of buying option</w:t>
      </w:r>
    </w:p>
    <w:p w14:paraId="57BDC1E4" w14:textId="77777777" w:rsidR="00817C1B" w:rsidRDefault="00392EBA">
      <w:pPr>
        <w:jc w:val="center"/>
        <w:rPr>
          <w:sz w:val="18"/>
          <w:szCs w:val="18"/>
        </w:rPr>
      </w:pPr>
      <w:r>
        <w:rPr>
          <w:noProof/>
          <w:sz w:val="18"/>
          <w:szCs w:val="18"/>
        </w:rPr>
        <w:drawing>
          <wp:inline distT="114300" distB="114300" distL="114300" distR="114300" wp14:anchorId="771F5F67" wp14:editId="099BEB5B">
            <wp:extent cx="6305550" cy="4083412"/>
            <wp:effectExtent l="0" t="0" r="0" b="0"/>
            <wp:docPr id="71" name="image66.png"/>
            <wp:cNvGraphicFramePr/>
            <a:graphic xmlns:a="http://schemas.openxmlformats.org/drawingml/2006/main">
              <a:graphicData uri="http://schemas.openxmlformats.org/drawingml/2006/picture">
                <pic:pic xmlns:pic="http://schemas.openxmlformats.org/drawingml/2006/picture">
                  <pic:nvPicPr>
                    <pic:cNvPr id="0" name="image66.png"/>
                    <pic:cNvPicPr preferRelativeResize="0"/>
                  </pic:nvPicPr>
                  <pic:blipFill>
                    <a:blip r:embed="rId26"/>
                    <a:srcRect/>
                    <a:stretch>
                      <a:fillRect/>
                    </a:stretch>
                  </pic:blipFill>
                  <pic:spPr>
                    <a:xfrm>
                      <a:off x="0" y="0"/>
                      <a:ext cx="6305550" cy="4083412"/>
                    </a:xfrm>
                    <a:prstGeom prst="rect">
                      <a:avLst/>
                    </a:prstGeom>
                    <a:ln/>
                  </pic:spPr>
                </pic:pic>
              </a:graphicData>
            </a:graphic>
          </wp:inline>
        </w:drawing>
      </w:r>
    </w:p>
    <w:p w14:paraId="25C437D9" w14:textId="77777777" w:rsidR="00817C1B" w:rsidRDefault="00392EBA">
      <w:pPr>
        <w:jc w:val="center"/>
        <w:rPr>
          <w:sz w:val="18"/>
          <w:szCs w:val="18"/>
        </w:rPr>
      </w:pPr>
      <w:r>
        <w:rPr>
          <w:sz w:val="18"/>
          <w:szCs w:val="18"/>
        </w:rPr>
        <w:t>Chart 5b: Profit of Put Option Part vs. 20-day HV of QQQ at the moment of selling option</w:t>
      </w:r>
    </w:p>
    <w:p w14:paraId="739F4882" w14:textId="77777777" w:rsidR="00817C1B" w:rsidRDefault="00392EBA">
      <w:pPr>
        <w:jc w:val="center"/>
        <w:rPr>
          <w:sz w:val="18"/>
          <w:szCs w:val="18"/>
        </w:rPr>
      </w:pPr>
      <w:r>
        <w:rPr>
          <w:noProof/>
          <w:sz w:val="18"/>
          <w:szCs w:val="18"/>
        </w:rPr>
        <w:lastRenderedPageBreak/>
        <w:drawing>
          <wp:inline distT="114300" distB="114300" distL="114300" distR="114300" wp14:anchorId="3DA0BC21" wp14:editId="5A5E0F0F">
            <wp:extent cx="6544790" cy="4378687"/>
            <wp:effectExtent l="0" t="0" r="0" b="0"/>
            <wp:docPr id="87" name="image102.png"/>
            <wp:cNvGraphicFramePr/>
            <a:graphic xmlns:a="http://schemas.openxmlformats.org/drawingml/2006/main">
              <a:graphicData uri="http://schemas.openxmlformats.org/drawingml/2006/picture">
                <pic:pic xmlns:pic="http://schemas.openxmlformats.org/drawingml/2006/picture">
                  <pic:nvPicPr>
                    <pic:cNvPr id="0" name="image102.png"/>
                    <pic:cNvPicPr preferRelativeResize="0"/>
                  </pic:nvPicPr>
                  <pic:blipFill>
                    <a:blip r:embed="rId27"/>
                    <a:srcRect/>
                    <a:stretch>
                      <a:fillRect/>
                    </a:stretch>
                  </pic:blipFill>
                  <pic:spPr>
                    <a:xfrm>
                      <a:off x="0" y="0"/>
                      <a:ext cx="6544790" cy="4378687"/>
                    </a:xfrm>
                    <a:prstGeom prst="rect">
                      <a:avLst/>
                    </a:prstGeom>
                    <a:ln/>
                  </pic:spPr>
                </pic:pic>
              </a:graphicData>
            </a:graphic>
          </wp:inline>
        </w:drawing>
      </w:r>
    </w:p>
    <w:p w14:paraId="40ADAAC6" w14:textId="77777777" w:rsidR="00817C1B" w:rsidRDefault="00392EBA">
      <w:pPr>
        <w:jc w:val="center"/>
        <w:rPr>
          <w:sz w:val="18"/>
          <w:szCs w:val="18"/>
        </w:rPr>
      </w:pPr>
      <w:r>
        <w:rPr>
          <w:sz w:val="18"/>
          <w:szCs w:val="18"/>
        </w:rPr>
        <w:t>Chart 6a: Total profit of strategy (long QQQ + put option) vs. 20-day HV of QQQ at the moment of buying option</w:t>
      </w:r>
    </w:p>
    <w:p w14:paraId="617D3808" w14:textId="77777777" w:rsidR="00817C1B" w:rsidRDefault="00392EBA">
      <w:pPr>
        <w:jc w:val="center"/>
        <w:rPr>
          <w:sz w:val="18"/>
          <w:szCs w:val="18"/>
        </w:rPr>
      </w:pPr>
      <w:r>
        <w:rPr>
          <w:noProof/>
          <w:sz w:val="18"/>
          <w:szCs w:val="18"/>
        </w:rPr>
        <w:drawing>
          <wp:inline distT="114300" distB="114300" distL="114300" distR="114300" wp14:anchorId="6574A0D1" wp14:editId="464A611F">
            <wp:extent cx="6626588" cy="4441605"/>
            <wp:effectExtent l="0" t="0" r="0" b="0"/>
            <wp:docPr id="48" name="image53.png"/>
            <wp:cNvGraphicFramePr/>
            <a:graphic xmlns:a="http://schemas.openxmlformats.org/drawingml/2006/main">
              <a:graphicData uri="http://schemas.openxmlformats.org/drawingml/2006/picture">
                <pic:pic xmlns:pic="http://schemas.openxmlformats.org/drawingml/2006/picture">
                  <pic:nvPicPr>
                    <pic:cNvPr id="0" name="image53.png"/>
                    <pic:cNvPicPr preferRelativeResize="0"/>
                  </pic:nvPicPr>
                  <pic:blipFill>
                    <a:blip r:embed="rId28"/>
                    <a:srcRect/>
                    <a:stretch>
                      <a:fillRect/>
                    </a:stretch>
                  </pic:blipFill>
                  <pic:spPr>
                    <a:xfrm>
                      <a:off x="0" y="0"/>
                      <a:ext cx="6626588" cy="4441605"/>
                    </a:xfrm>
                    <a:prstGeom prst="rect">
                      <a:avLst/>
                    </a:prstGeom>
                    <a:ln/>
                  </pic:spPr>
                </pic:pic>
              </a:graphicData>
            </a:graphic>
          </wp:inline>
        </w:drawing>
      </w:r>
      <w:r>
        <w:br w:type="page"/>
      </w:r>
    </w:p>
    <w:p w14:paraId="1BDB7D66" w14:textId="77777777" w:rsidR="00817C1B" w:rsidRDefault="00392EBA">
      <w:pPr>
        <w:jc w:val="center"/>
        <w:rPr>
          <w:sz w:val="18"/>
          <w:szCs w:val="18"/>
        </w:rPr>
      </w:pPr>
      <w:r>
        <w:rPr>
          <w:sz w:val="18"/>
          <w:szCs w:val="18"/>
        </w:rPr>
        <w:lastRenderedPageBreak/>
        <w:t xml:space="preserve">Chart 6b: Total profit of strategy (long QQQ + put </w:t>
      </w:r>
      <w:r>
        <w:rPr>
          <w:sz w:val="18"/>
          <w:szCs w:val="18"/>
        </w:rPr>
        <w:t>option) vs. 20-day HV of QQQ at the moment of selling option</w:t>
      </w:r>
    </w:p>
    <w:p w14:paraId="4E667A83" w14:textId="77777777" w:rsidR="00817C1B" w:rsidRDefault="00392EBA">
      <w:pPr>
        <w:jc w:val="center"/>
        <w:rPr>
          <w:sz w:val="18"/>
          <w:szCs w:val="18"/>
        </w:rPr>
      </w:pPr>
      <w:r>
        <w:rPr>
          <w:noProof/>
          <w:sz w:val="18"/>
          <w:szCs w:val="18"/>
        </w:rPr>
        <w:drawing>
          <wp:inline distT="114300" distB="114300" distL="114300" distR="114300" wp14:anchorId="2E7CAB05" wp14:editId="7FB9A09A">
            <wp:extent cx="6617983" cy="4435837"/>
            <wp:effectExtent l="0" t="0" r="0" b="0"/>
            <wp:docPr id="117" name="image114.png"/>
            <wp:cNvGraphicFramePr/>
            <a:graphic xmlns:a="http://schemas.openxmlformats.org/drawingml/2006/main">
              <a:graphicData uri="http://schemas.openxmlformats.org/drawingml/2006/picture">
                <pic:pic xmlns:pic="http://schemas.openxmlformats.org/drawingml/2006/picture">
                  <pic:nvPicPr>
                    <pic:cNvPr id="0" name="image114.png"/>
                    <pic:cNvPicPr preferRelativeResize="0"/>
                  </pic:nvPicPr>
                  <pic:blipFill>
                    <a:blip r:embed="rId29"/>
                    <a:srcRect/>
                    <a:stretch>
                      <a:fillRect/>
                    </a:stretch>
                  </pic:blipFill>
                  <pic:spPr>
                    <a:xfrm>
                      <a:off x="0" y="0"/>
                      <a:ext cx="6617983" cy="4435837"/>
                    </a:xfrm>
                    <a:prstGeom prst="rect">
                      <a:avLst/>
                    </a:prstGeom>
                    <a:ln/>
                  </pic:spPr>
                </pic:pic>
              </a:graphicData>
            </a:graphic>
          </wp:inline>
        </w:drawing>
      </w:r>
    </w:p>
    <w:p w14:paraId="4C76BFDE" w14:textId="77777777" w:rsidR="00817C1B" w:rsidRDefault="00392EBA">
      <w:pPr>
        <w:jc w:val="center"/>
        <w:rPr>
          <w:sz w:val="18"/>
          <w:szCs w:val="18"/>
        </w:rPr>
      </w:pPr>
      <w:r>
        <w:rPr>
          <w:sz w:val="18"/>
          <w:szCs w:val="18"/>
        </w:rPr>
        <w:t>Chart 7a: 1-month percentage change of QQQ  vs. 20-day HV of QQQ at the moment of buying option</w:t>
      </w:r>
    </w:p>
    <w:p w14:paraId="02AB7E0B" w14:textId="77777777" w:rsidR="00817C1B" w:rsidRDefault="00392EBA">
      <w:pPr>
        <w:jc w:val="center"/>
        <w:rPr>
          <w:sz w:val="18"/>
          <w:szCs w:val="18"/>
        </w:rPr>
      </w:pPr>
      <w:r>
        <w:rPr>
          <w:noProof/>
          <w:sz w:val="18"/>
          <w:szCs w:val="18"/>
        </w:rPr>
        <w:lastRenderedPageBreak/>
        <w:drawing>
          <wp:inline distT="114300" distB="114300" distL="114300" distR="114300" wp14:anchorId="0F532038" wp14:editId="0307C9F5">
            <wp:extent cx="6502079" cy="4350112"/>
            <wp:effectExtent l="0" t="0" r="0" b="0"/>
            <wp:docPr id="70" name="image65.png"/>
            <wp:cNvGraphicFramePr/>
            <a:graphic xmlns:a="http://schemas.openxmlformats.org/drawingml/2006/main">
              <a:graphicData uri="http://schemas.openxmlformats.org/drawingml/2006/picture">
                <pic:pic xmlns:pic="http://schemas.openxmlformats.org/drawingml/2006/picture">
                  <pic:nvPicPr>
                    <pic:cNvPr id="0" name="image65.png"/>
                    <pic:cNvPicPr preferRelativeResize="0"/>
                  </pic:nvPicPr>
                  <pic:blipFill>
                    <a:blip r:embed="rId30"/>
                    <a:srcRect/>
                    <a:stretch>
                      <a:fillRect/>
                    </a:stretch>
                  </pic:blipFill>
                  <pic:spPr>
                    <a:xfrm>
                      <a:off x="0" y="0"/>
                      <a:ext cx="6502079" cy="4350112"/>
                    </a:xfrm>
                    <a:prstGeom prst="rect">
                      <a:avLst/>
                    </a:prstGeom>
                    <a:ln/>
                  </pic:spPr>
                </pic:pic>
              </a:graphicData>
            </a:graphic>
          </wp:inline>
        </w:drawing>
      </w:r>
      <w:r>
        <w:br w:type="page"/>
      </w:r>
    </w:p>
    <w:p w14:paraId="080F3009" w14:textId="77777777" w:rsidR="00817C1B" w:rsidRDefault="00392EBA">
      <w:pPr>
        <w:jc w:val="center"/>
        <w:rPr>
          <w:sz w:val="18"/>
          <w:szCs w:val="18"/>
        </w:rPr>
      </w:pPr>
      <w:r>
        <w:rPr>
          <w:sz w:val="18"/>
          <w:szCs w:val="18"/>
        </w:rPr>
        <w:lastRenderedPageBreak/>
        <w:t>Chart 7b: 1-month percentage change of QQQ  vs. 20-day HV of QQQ at the moment of selling opti</w:t>
      </w:r>
      <w:r>
        <w:rPr>
          <w:sz w:val="18"/>
          <w:szCs w:val="18"/>
        </w:rPr>
        <w:t>on</w:t>
      </w:r>
    </w:p>
    <w:p w14:paraId="49B27A0D" w14:textId="77777777" w:rsidR="00817C1B" w:rsidRDefault="00392EBA">
      <w:pPr>
        <w:jc w:val="center"/>
        <w:rPr>
          <w:sz w:val="18"/>
          <w:szCs w:val="18"/>
        </w:rPr>
      </w:pPr>
      <w:r>
        <w:rPr>
          <w:noProof/>
          <w:sz w:val="18"/>
          <w:szCs w:val="18"/>
        </w:rPr>
        <w:drawing>
          <wp:inline distT="114300" distB="114300" distL="114300" distR="114300" wp14:anchorId="5CDB65AA" wp14:editId="67D8044C">
            <wp:extent cx="6569438" cy="4403299"/>
            <wp:effectExtent l="0" t="0" r="0" b="0"/>
            <wp:docPr id="142" name="image135.png"/>
            <wp:cNvGraphicFramePr/>
            <a:graphic xmlns:a="http://schemas.openxmlformats.org/drawingml/2006/main">
              <a:graphicData uri="http://schemas.openxmlformats.org/drawingml/2006/picture">
                <pic:pic xmlns:pic="http://schemas.openxmlformats.org/drawingml/2006/picture">
                  <pic:nvPicPr>
                    <pic:cNvPr id="0" name="image135.png"/>
                    <pic:cNvPicPr preferRelativeResize="0"/>
                  </pic:nvPicPr>
                  <pic:blipFill>
                    <a:blip r:embed="rId31"/>
                    <a:srcRect/>
                    <a:stretch>
                      <a:fillRect/>
                    </a:stretch>
                  </pic:blipFill>
                  <pic:spPr>
                    <a:xfrm>
                      <a:off x="0" y="0"/>
                      <a:ext cx="6569438" cy="4403299"/>
                    </a:xfrm>
                    <a:prstGeom prst="rect">
                      <a:avLst/>
                    </a:prstGeom>
                    <a:ln/>
                  </pic:spPr>
                </pic:pic>
              </a:graphicData>
            </a:graphic>
          </wp:inline>
        </w:drawing>
      </w:r>
      <w:r>
        <w:br w:type="page"/>
      </w:r>
    </w:p>
    <w:p w14:paraId="5F0118B5" w14:textId="77777777" w:rsidR="00817C1B" w:rsidRDefault="00392EBA">
      <w:pPr>
        <w:pStyle w:val="Heading3"/>
        <w:jc w:val="both"/>
        <w:rPr>
          <w:color w:val="741B47"/>
        </w:rPr>
      </w:pPr>
      <w:bookmarkStart w:id="8" w:name="_y9x4z7f27i65" w:colFirst="0" w:colLast="0"/>
      <w:bookmarkEnd w:id="8"/>
      <w:r>
        <w:rPr>
          <w:color w:val="741B47"/>
        </w:rPr>
        <w:lastRenderedPageBreak/>
        <w:t>The Effect of QQQ Price Change in Previous Month on QQQ Put Option Insurance Strategy</w:t>
      </w:r>
    </w:p>
    <w:p w14:paraId="481DBA0F" w14:textId="77777777" w:rsidR="00817C1B" w:rsidRDefault="00817C1B"/>
    <w:p w14:paraId="3777B747" w14:textId="77777777" w:rsidR="00817C1B" w:rsidRDefault="00392EBA">
      <w:pPr>
        <w:jc w:val="both"/>
      </w:pPr>
      <w:r>
        <w:t xml:space="preserve">In the previous subsection it has been examined how the volatility of QQQ affects the performance of QQQ Put Option Insurance Strategy. Now, </w:t>
      </w:r>
      <w:r>
        <w:rPr>
          <w:b/>
        </w:rPr>
        <w:t>the effect of QQQ pric</w:t>
      </w:r>
      <w:r>
        <w:rPr>
          <w:b/>
        </w:rPr>
        <w:t>e change will be presented</w:t>
      </w:r>
      <w:r>
        <w:t>.</w:t>
      </w:r>
    </w:p>
    <w:p w14:paraId="06BEF2DE" w14:textId="77777777" w:rsidR="00817C1B" w:rsidRDefault="00817C1B">
      <w:pPr>
        <w:jc w:val="both"/>
      </w:pPr>
    </w:p>
    <w:p w14:paraId="6677DA7B" w14:textId="77777777" w:rsidR="00817C1B" w:rsidRDefault="00392EBA">
      <w:pPr>
        <w:jc w:val="both"/>
      </w:pPr>
      <w:r>
        <w:t xml:space="preserve">At first, Chart 8a shows the </w:t>
      </w:r>
      <w:r>
        <w:rPr>
          <w:b/>
        </w:rPr>
        <w:t>profitability both the put option part and the whole strategy (Total Profit) in the function of QQQ percentage change in the given month</w:t>
      </w:r>
      <w:r>
        <w:t xml:space="preserve">. As it can be seen, the </w:t>
      </w:r>
      <w:r>
        <w:rPr>
          <w:b/>
        </w:rPr>
        <w:t>linear correlation</w:t>
      </w:r>
      <w:r>
        <w:t xml:space="preserve"> (R</w:t>
      </w:r>
      <w:r>
        <w:rPr>
          <w:vertAlign w:val="superscript"/>
        </w:rPr>
        <w:t>2</w:t>
      </w:r>
      <w:r>
        <w:rPr>
          <w:rFonts w:ascii="Arial Unicode MS" w:eastAsia="Arial Unicode MS" w:hAnsi="Arial Unicode MS" w:cs="Arial Unicode MS"/>
        </w:rPr>
        <w:t>=0.7604 and 0.7</w:t>
      </w:r>
      <w:r>
        <w:rPr>
          <w:rFonts w:ascii="Arial Unicode MS" w:eastAsia="Arial Unicode MS" w:hAnsi="Arial Unicode MS" w:cs="Arial Unicode MS"/>
        </w:rPr>
        <w:t xml:space="preserve">244 ⇒ </w:t>
      </w:r>
      <w:r>
        <w:rPr>
          <w:i/>
        </w:rPr>
        <w:t>r</w:t>
      </w:r>
      <w:r>
        <w:t xml:space="preserve">=0.87 and 0.85) is </w:t>
      </w:r>
      <w:r>
        <w:rPr>
          <w:b/>
        </w:rPr>
        <w:t>very strong</w:t>
      </w:r>
      <w:r>
        <w:t xml:space="preserve">, but the </w:t>
      </w:r>
      <w:r>
        <w:rPr>
          <w:b/>
        </w:rPr>
        <w:t>combination of two linear functions (with different slopes) would be more appropriate in both cases</w:t>
      </w:r>
      <w:r>
        <w:t xml:space="preserve">. </w:t>
      </w:r>
    </w:p>
    <w:p w14:paraId="1F05847E" w14:textId="77777777" w:rsidR="00817C1B" w:rsidRDefault="00817C1B">
      <w:pPr>
        <w:jc w:val="both"/>
      </w:pPr>
    </w:p>
    <w:p w14:paraId="31B88727" w14:textId="77777777" w:rsidR="00817C1B" w:rsidRDefault="00392EBA">
      <w:pPr>
        <w:jc w:val="both"/>
      </w:pPr>
      <w:r>
        <w:rPr>
          <w:b/>
        </w:rPr>
        <w:t>The profitability of put option part is increasing when the percentage change of QQQ price is decreasing a</w:t>
      </w:r>
      <w:r>
        <w:rPr>
          <w:b/>
        </w:rPr>
        <w:t>nd negative, while constant (~-2 – -4%) when the change of QQQ price is positive (i.e. the put option becomes worthless).</w:t>
      </w:r>
      <w:r>
        <w:t xml:space="preserve"> When the percentage change of QQQ is negative but close to zero, the time value of the put option at the moment of buy causes the slig</w:t>
      </w:r>
      <w:r>
        <w:t>htly negative profit.</w:t>
      </w:r>
    </w:p>
    <w:p w14:paraId="0F25B18C" w14:textId="77777777" w:rsidR="00817C1B" w:rsidRDefault="00817C1B">
      <w:pPr>
        <w:jc w:val="both"/>
      </w:pPr>
    </w:p>
    <w:p w14:paraId="3418FB30" w14:textId="77777777" w:rsidR="00817C1B" w:rsidRDefault="00392EBA">
      <w:pPr>
        <w:jc w:val="both"/>
        <w:rPr>
          <w:b/>
        </w:rPr>
      </w:pPr>
      <w:r>
        <w:rPr>
          <w:b/>
        </w:rPr>
        <w:t>The profitability of the whole strategy is almost the mirror image of the put option part profitability reflected on the Y axis. It is constantly negative (~-2 – -4%) when QQQ change is negative and increasing when QQQ is also increa</w:t>
      </w:r>
      <w:r>
        <w:rPr>
          <w:b/>
        </w:rPr>
        <w:t>sing and positive.</w:t>
      </w:r>
    </w:p>
    <w:p w14:paraId="3D69242C" w14:textId="77777777" w:rsidR="00817C1B" w:rsidRDefault="00817C1B">
      <w:pPr>
        <w:jc w:val="both"/>
        <w:rPr>
          <w:b/>
        </w:rPr>
      </w:pPr>
    </w:p>
    <w:p w14:paraId="059D8D9F" w14:textId="77777777" w:rsidR="00817C1B" w:rsidRDefault="00392EBA">
      <w:pPr>
        <w:jc w:val="both"/>
        <w:rPr>
          <w:b/>
        </w:rPr>
      </w:pPr>
      <w:r>
        <w:rPr>
          <w:b/>
        </w:rPr>
        <w:t>It means that the potential loss of the strategy is limited: -2 – -4% per month in worst cases, while the profit is unlimited and about -2% (average buy price of put option) lower than the unhedged buy and hold QQQ strategy.</w:t>
      </w:r>
    </w:p>
    <w:p w14:paraId="084EB3E1" w14:textId="77777777" w:rsidR="00817C1B" w:rsidRDefault="00817C1B">
      <w:pPr>
        <w:jc w:val="both"/>
      </w:pPr>
    </w:p>
    <w:p w14:paraId="4E576B2C" w14:textId="77777777" w:rsidR="00817C1B" w:rsidRDefault="00392EBA">
      <w:pPr>
        <w:jc w:val="center"/>
        <w:rPr>
          <w:sz w:val="18"/>
          <w:szCs w:val="18"/>
        </w:rPr>
      </w:pPr>
      <w:r>
        <w:rPr>
          <w:sz w:val="18"/>
          <w:szCs w:val="18"/>
        </w:rPr>
        <w:t>Chart 8a: 1-month percentage c</w:t>
      </w:r>
      <w:r>
        <w:rPr>
          <w:sz w:val="18"/>
          <w:szCs w:val="18"/>
        </w:rPr>
        <w:t>hange of QQQ  vs. Profit of Put Option Insurance Strategy</w:t>
      </w:r>
    </w:p>
    <w:p w14:paraId="0AB745D0" w14:textId="77777777" w:rsidR="00817C1B" w:rsidRDefault="00392EBA">
      <w:pPr>
        <w:jc w:val="center"/>
        <w:rPr>
          <w:sz w:val="18"/>
          <w:szCs w:val="18"/>
        </w:rPr>
      </w:pPr>
      <w:r>
        <w:rPr>
          <w:noProof/>
          <w:sz w:val="18"/>
          <w:szCs w:val="18"/>
        </w:rPr>
        <w:drawing>
          <wp:inline distT="114300" distB="114300" distL="114300" distR="114300" wp14:anchorId="6529CAC6" wp14:editId="0F54EEBE">
            <wp:extent cx="6616653" cy="4426313"/>
            <wp:effectExtent l="0" t="0" r="0" b="0"/>
            <wp:docPr id="55" name="image54.png"/>
            <wp:cNvGraphicFramePr/>
            <a:graphic xmlns:a="http://schemas.openxmlformats.org/drawingml/2006/main">
              <a:graphicData uri="http://schemas.openxmlformats.org/drawingml/2006/picture">
                <pic:pic xmlns:pic="http://schemas.openxmlformats.org/drawingml/2006/picture">
                  <pic:nvPicPr>
                    <pic:cNvPr id="0" name="image54.png"/>
                    <pic:cNvPicPr preferRelativeResize="0"/>
                  </pic:nvPicPr>
                  <pic:blipFill>
                    <a:blip r:embed="rId32"/>
                    <a:srcRect/>
                    <a:stretch>
                      <a:fillRect/>
                    </a:stretch>
                  </pic:blipFill>
                  <pic:spPr>
                    <a:xfrm>
                      <a:off x="0" y="0"/>
                      <a:ext cx="6616653" cy="4426313"/>
                    </a:xfrm>
                    <a:prstGeom prst="rect">
                      <a:avLst/>
                    </a:prstGeom>
                    <a:ln/>
                  </pic:spPr>
                </pic:pic>
              </a:graphicData>
            </a:graphic>
          </wp:inline>
        </w:drawing>
      </w:r>
      <w:r>
        <w:br w:type="page"/>
      </w:r>
    </w:p>
    <w:p w14:paraId="33FDF356" w14:textId="77777777" w:rsidR="00817C1B" w:rsidRDefault="00392EBA">
      <w:pPr>
        <w:jc w:val="both"/>
        <w:rPr>
          <w:b/>
        </w:rPr>
      </w:pPr>
      <w:r>
        <w:lastRenderedPageBreak/>
        <w:t xml:space="preserve">For the sake of interested readers, it has been also checked </w:t>
      </w:r>
      <w:r>
        <w:rPr>
          <w:b/>
        </w:rPr>
        <w:t>how last month's performance of QQQ affects profitability of our insurance strategy</w:t>
      </w:r>
      <w:r>
        <w:t>. As it can be concluded based on Chart 8b:</w:t>
      </w:r>
      <w:r>
        <w:rPr>
          <w:b/>
        </w:rPr>
        <w:t xml:space="preserve"> it does</w:t>
      </w:r>
      <w:r>
        <w:rPr>
          <w:b/>
        </w:rPr>
        <w:t xml:space="preserve"> not affect it in any way.</w:t>
      </w:r>
    </w:p>
    <w:p w14:paraId="306CFB9E" w14:textId="77777777" w:rsidR="00817C1B" w:rsidRDefault="00817C1B">
      <w:pPr>
        <w:jc w:val="both"/>
      </w:pPr>
    </w:p>
    <w:p w14:paraId="5FFD99EA" w14:textId="77777777" w:rsidR="00817C1B" w:rsidRDefault="00392EBA">
      <w:pPr>
        <w:jc w:val="both"/>
      </w:pPr>
      <w:r>
        <w:rPr>
          <w:b/>
        </w:rPr>
        <w:t xml:space="preserve">This finding and the conclusions of previous subsection mean that this kind of put option insurance strategy has to be constantly played, not only in low- or high-volatile regimes, after a good or bad month etc. </w:t>
      </w:r>
      <w:r>
        <w:t xml:space="preserve">For instance, </w:t>
      </w:r>
      <w:r>
        <w:rPr>
          <w:b/>
        </w:rPr>
        <w:t>it</w:t>
      </w:r>
      <w:r>
        <w:rPr>
          <w:b/>
        </w:rPr>
        <w:t xml:space="preserve"> is tempting to stop buying put insurance in bullish periods. Maybe just buying it after one bearish month. But the numbers doesn't support that claim.</w:t>
      </w:r>
      <w:r>
        <w:t xml:space="preserve"> Chart 8b shows that</w:t>
      </w:r>
      <w:r>
        <w:rPr>
          <w:b/>
        </w:rPr>
        <w:t xml:space="preserve"> no matter the previous month was bearish or bullish, the total portfolio profit is t</w:t>
      </w:r>
      <w:r>
        <w:rPr>
          <w:b/>
        </w:rPr>
        <w:t>he same.</w:t>
      </w:r>
      <w:r>
        <w:t xml:space="preserve"> Therefore, </w:t>
      </w:r>
      <w:r>
        <w:rPr>
          <w:b/>
        </w:rPr>
        <w:t>the previous 1-month QQQ %change cannot be used to forecast or time the necessity of buying put option insurance</w:t>
      </w:r>
      <w:r>
        <w:t>.</w:t>
      </w:r>
    </w:p>
    <w:p w14:paraId="1F0684B8" w14:textId="77777777" w:rsidR="00817C1B" w:rsidRDefault="00817C1B">
      <w:pPr>
        <w:jc w:val="both"/>
      </w:pPr>
    </w:p>
    <w:p w14:paraId="581E5119" w14:textId="77777777" w:rsidR="00817C1B" w:rsidRDefault="00392EBA">
      <w:pPr>
        <w:jc w:val="center"/>
        <w:rPr>
          <w:sz w:val="18"/>
          <w:szCs w:val="18"/>
        </w:rPr>
      </w:pPr>
      <w:r>
        <w:rPr>
          <w:sz w:val="18"/>
          <w:szCs w:val="18"/>
        </w:rPr>
        <w:t>Chart 8b: 1-month percentage change of QQQ in previous month  vs. Profit of Put Option Insurance Strategy</w:t>
      </w:r>
    </w:p>
    <w:p w14:paraId="1E1A0626" w14:textId="77777777" w:rsidR="00817C1B" w:rsidRDefault="00392EBA">
      <w:pPr>
        <w:jc w:val="center"/>
        <w:rPr>
          <w:sz w:val="18"/>
          <w:szCs w:val="18"/>
        </w:rPr>
      </w:pPr>
      <w:r>
        <w:rPr>
          <w:noProof/>
          <w:sz w:val="18"/>
          <w:szCs w:val="18"/>
        </w:rPr>
        <w:drawing>
          <wp:inline distT="114300" distB="114300" distL="114300" distR="114300" wp14:anchorId="48579636" wp14:editId="632A6F61">
            <wp:extent cx="7052400" cy="4711700"/>
            <wp:effectExtent l="0" t="0" r="0" b="0"/>
            <wp:docPr id="125" name="image122.png"/>
            <wp:cNvGraphicFramePr/>
            <a:graphic xmlns:a="http://schemas.openxmlformats.org/drawingml/2006/main">
              <a:graphicData uri="http://schemas.openxmlformats.org/drawingml/2006/picture">
                <pic:pic xmlns:pic="http://schemas.openxmlformats.org/drawingml/2006/picture">
                  <pic:nvPicPr>
                    <pic:cNvPr id="0" name="image122.png"/>
                    <pic:cNvPicPr preferRelativeResize="0"/>
                  </pic:nvPicPr>
                  <pic:blipFill>
                    <a:blip r:embed="rId33"/>
                    <a:srcRect/>
                    <a:stretch>
                      <a:fillRect/>
                    </a:stretch>
                  </pic:blipFill>
                  <pic:spPr>
                    <a:xfrm>
                      <a:off x="0" y="0"/>
                      <a:ext cx="7052400" cy="4711700"/>
                    </a:xfrm>
                    <a:prstGeom prst="rect">
                      <a:avLst/>
                    </a:prstGeom>
                    <a:ln/>
                  </pic:spPr>
                </pic:pic>
              </a:graphicData>
            </a:graphic>
          </wp:inline>
        </w:drawing>
      </w:r>
      <w:r>
        <w:br w:type="page"/>
      </w:r>
    </w:p>
    <w:p w14:paraId="676AA004" w14:textId="77777777" w:rsidR="00817C1B" w:rsidRDefault="00392EBA">
      <w:pPr>
        <w:pStyle w:val="Heading3"/>
        <w:jc w:val="both"/>
        <w:rPr>
          <w:color w:val="741B47"/>
        </w:rPr>
      </w:pPr>
      <w:bookmarkStart w:id="9" w:name="_u3sqle52otpo" w:colFirst="0" w:colLast="0"/>
      <w:bookmarkEnd w:id="9"/>
      <w:r>
        <w:rPr>
          <w:color w:val="741B47"/>
        </w:rPr>
        <w:lastRenderedPageBreak/>
        <w:t xml:space="preserve">Distribution of Monthly Profits - </w:t>
      </w:r>
      <w:proofErr w:type="spellStart"/>
      <w:r>
        <w:rPr>
          <w:color w:val="741B47"/>
        </w:rPr>
        <w:t>Buy&amp;Hold</w:t>
      </w:r>
      <w:proofErr w:type="spellEnd"/>
      <w:r>
        <w:rPr>
          <w:color w:val="741B47"/>
        </w:rPr>
        <w:t xml:space="preserve"> QQQ vs. Put Option Protection</w:t>
      </w:r>
    </w:p>
    <w:p w14:paraId="0089ACD9" w14:textId="77777777" w:rsidR="00817C1B" w:rsidRDefault="00817C1B"/>
    <w:p w14:paraId="3CB8A9D1" w14:textId="77777777" w:rsidR="00817C1B" w:rsidRDefault="00392EBA">
      <w:pPr>
        <w:jc w:val="both"/>
      </w:pPr>
      <w:r>
        <w:t xml:space="preserve">Someone might also be interested </w:t>
      </w:r>
      <w:r>
        <w:rPr>
          <w:b/>
        </w:rPr>
        <w:t>in what proportion of trades are profita</w:t>
      </w:r>
      <w:r>
        <w:rPr>
          <w:b/>
        </w:rPr>
        <w:t>ble</w:t>
      </w:r>
      <w:r>
        <w:t xml:space="preserve"> in our put option insurance strategy and its sub-strategies.</w:t>
      </w:r>
    </w:p>
    <w:p w14:paraId="13579E7B" w14:textId="77777777" w:rsidR="00817C1B" w:rsidRDefault="00817C1B">
      <w:pPr>
        <w:jc w:val="both"/>
      </w:pPr>
    </w:p>
    <w:p w14:paraId="236794AD" w14:textId="77777777" w:rsidR="00817C1B" w:rsidRDefault="00392EBA">
      <w:pPr>
        <w:jc w:val="both"/>
      </w:pPr>
      <w:r>
        <w:t xml:space="preserve">Chart 9 shows the </w:t>
      </w:r>
      <w:r>
        <w:rPr>
          <w:b/>
        </w:rPr>
        <w:t>distribution of monthly profits</w:t>
      </w:r>
      <w:r>
        <w:t xml:space="preserve">, while Table 3 contains some statistical indicators. It </w:t>
      </w:r>
      <w:proofErr w:type="spellStart"/>
      <w:r>
        <w:t>It</w:t>
      </w:r>
      <w:proofErr w:type="spellEnd"/>
      <w:r>
        <w:t xml:space="preserve"> can be seen that </w:t>
      </w:r>
      <w:r>
        <w:rPr>
          <w:b/>
        </w:rPr>
        <w:t xml:space="preserve">although the put option part - which profits only in scary bear </w:t>
      </w:r>
      <w:r>
        <w:rPr>
          <w:b/>
        </w:rPr>
        <w:t xml:space="preserve">periods - is profitable only in 20.83% of months (and in 73.47% totally loser - goes to $0), the pure </w:t>
      </w:r>
      <w:proofErr w:type="spellStart"/>
      <w:r>
        <w:rPr>
          <w:b/>
        </w:rPr>
        <w:t>buy&amp;hold</w:t>
      </w:r>
      <w:proofErr w:type="spellEnd"/>
      <w:r>
        <w:rPr>
          <w:b/>
        </w:rPr>
        <w:t xml:space="preserve"> QQQ can lose even -13.5% in these months. In contrast, the maximal loss of put option part is limited (~-4%). In other words, the bull-period pre</w:t>
      </w:r>
      <w:r>
        <w:rPr>
          <w:b/>
        </w:rPr>
        <w:t xml:space="preserve">ferring </w:t>
      </w:r>
      <w:proofErr w:type="spellStart"/>
      <w:r>
        <w:rPr>
          <w:b/>
        </w:rPr>
        <w:t>buy&amp;hold</w:t>
      </w:r>
      <w:proofErr w:type="spellEnd"/>
      <w:r>
        <w:rPr>
          <w:b/>
        </w:rPr>
        <w:t xml:space="preserve"> QQQ is profitable in about 70% of months in the </w:t>
      </w:r>
      <w:proofErr w:type="spellStart"/>
      <w:r>
        <w:rPr>
          <w:b/>
        </w:rPr>
        <w:t>backtested</w:t>
      </w:r>
      <w:proofErr w:type="spellEnd"/>
      <w:r>
        <w:rPr>
          <w:b/>
        </w:rPr>
        <w:t xml:space="preserve"> period, but has some big losses. Meanwhile, put options are naturally loss-makers in bullish and sideways regimes. Thus, it has to be emphasized that the starting point of </w:t>
      </w:r>
      <w:proofErr w:type="spellStart"/>
      <w:r>
        <w:rPr>
          <w:b/>
        </w:rPr>
        <w:t>backtest</w:t>
      </w:r>
      <w:r>
        <w:rPr>
          <w:b/>
        </w:rPr>
        <w:t>ed</w:t>
      </w:r>
      <w:proofErr w:type="spellEnd"/>
      <w:r>
        <w:rPr>
          <w:b/>
        </w:rPr>
        <w:t xml:space="preserve"> period is 2011-03-23 and there was not any bear market since then. It is more important that the combined long QQQ + put insurance strategy (Total) was profitable in 52.08% of time with almost 1% monthly profit on average and has limited risk.</w:t>
      </w:r>
      <w:r>
        <w:t xml:space="preserve"> </w:t>
      </w:r>
    </w:p>
    <w:p w14:paraId="57BF68F8" w14:textId="77777777" w:rsidR="00817C1B" w:rsidRDefault="00817C1B">
      <w:pPr>
        <w:jc w:val="both"/>
      </w:pPr>
    </w:p>
    <w:p w14:paraId="652ACDCE" w14:textId="77777777" w:rsidR="00817C1B" w:rsidRDefault="00392EBA">
      <w:pPr>
        <w:jc w:val="both"/>
      </w:pPr>
      <w:r>
        <w:t>If some</w:t>
      </w:r>
      <w:r>
        <w:t>one is interested in how the strategy would perform in case of a bear market or significant corrections, he will find a detailed Monte-Carlo analysis in the next chapter.</w:t>
      </w:r>
    </w:p>
    <w:p w14:paraId="36263E44" w14:textId="77777777" w:rsidR="00817C1B" w:rsidRDefault="00817C1B">
      <w:pPr>
        <w:jc w:val="both"/>
      </w:pPr>
    </w:p>
    <w:p w14:paraId="742F75CA" w14:textId="77777777" w:rsidR="00817C1B" w:rsidRDefault="00392EBA">
      <w:pPr>
        <w:jc w:val="center"/>
        <w:rPr>
          <w:sz w:val="18"/>
          <w:szCs w:val="18"/>
        </w:rPr>
      </w:pPr>
      <w:r>
        <w:rPr>
          <w:sz w:val="18"/>
          <w:szCs w:val="18"/>
        </w:rPr>
        <w:t>Chart 9: Distribution of Monthly Profits</w:t>
      </w:r>
    </w:p>
    <w:p w14:paraId="5BC6C456" w14:textId="77777777" w:rsidR="00817C1B" w:rsidRDefault="00392EBA">
      <w:pPr>
        <w:jc w:val="center"/>
        <w:rPr>
          <w:sz w:val="18"/>
          <w:szCs w:val="18"/>
        </w:rPr>
      </w:pPr>
      <w:r>
        <w:rPr>
          <w:noProof/>
          <w:sz w:val="18"/>
          <w:szCs w:val="18"/>
        </w:rPr>
        <w:drawing>
          <wp:inline distT="114300" distB="114300" distL="114300" distR="114300" wp14:anchorId="6DFFCD4D" wp14:editId="097406DA">
            <wp:extent cx="6948420" cy="4597763"/>
            <wp:effectExtent l="0" t="0" r="0" b="0"/>
            <wp:docPr id="8"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34"/>
                    <a:srcRect/>
                    <a:stretch>
                      <a:fillRect/>
                    </a:stretch>
                  </pic:blipFill>
                  <pic:spPr>
                    <a:xfrm>
                      <a:off x="0" y="0"/>
                      <a:ext cx="6948420" cy="4597763"/>
                    </a:xfrm>
                    <a:prstGeom prst="rect">
                      <a:avLst/>
                    </a:prstGeom>
                    <a:ln/>
                  </pic:spPr>
                </pic:pic>
              </a:graphicData>
            </a:graphic>
          </wp:inline>
        </w:drawing>
      </w:r>
    </w:p>
    <w:p w14:paraId="7366FE1E" w14:textId="77777777" w:rsidR="00817C1B" w:rsidRDefault="00392EBA">
      <w:pPr>
        <w:jc w:val="center"/>
        <w:rPr>
          <w:sz w:val="18"/>
          <w:szCs w:val="18"/>
        </w:rPr>
      </w:pPr>
      <w:r>
        <w:br w:type="page"/>
      </w:r>
    </w:p>
    <w:p w14:paraId="512FADCC" w14:textId="77777777" w:rsidR="00817C1B" w:rsidRDefault="00392EBA">
      <w:pPr>
        <w:jc w:val="center"/>
        <w:rPr>
          <w:sz w:val="18"/>
          <w:szCs w:val="18"/>
        </w:rPr>
      </w:pPr>
      <w:r>
        <w:rPr>
          <w:sz w:val="18"/>
          <w:szCs w:val="18"/>
        </w:rPr>
        <w:lastRenderedPageBreak/>
        <w:t>Table 3: Statistical indicators of mont</w:t>
      </w:r>
      <w:r>
        <w:rPr>
          <w:sz w:val="18"/>
          <w:szCs w:val="18"/>
        </w:rPr>
        <w:t>hly profits</w:t>
      </w:r>
    </w:p>
    <w:p w14:paraId="2D2B5057" w14:textId="77777777" w:rsidR="00817C1B" w:rsidRDefault="00392EBA">
      <w:pPr>
        <w:jc w:val="center"/>
        <w:rPr>
          <w:sz w:val="18"/>
          <w:szCs w:val="18"/>
        </w:rPr>
      </w:pPr>
      <w:r>
        <w:rPr>
          <w:noProof/>
          <w:sz w:val="18"/>
          <w:szCs w:val="18"/>
        </w:rPr>
        <w:drawing>
          <wp:inline distT="114300" distB="114300" distL="114300" distR="114300" wp14:anchorId="433780AF" wp14:editId="435088D9">
            <wp:extent cx="5086350" cy="2445113"/>
            <wp:effectExtent l="0" t="0" r="0" b="0"/>
            <wp:docPr id="130" name="image129.png"/>
            <wp:cNvGraphicFramePr/>
            <a:graphic xmlns:a="http://schemas.openxmlformats.org/drawingml/2006/main">
              <a:graphicData uri="http://schemas.openxmlformats.org/drawingml/2006/picture">
                <pic:pic xmlns:pic="http://schemas.openxmlformats.org/drawingml/2006/picture">
                  <pic:nvPicPr>
                    <pic:cNvPr id="0" name="image129.png"/>
                    <pic:cNvPicPr preferRelativeResize="0"/>
                  </pic:nvPicPr>
                  <pic:blipFill>
                    <a:blip r:embed="rId35"/>
                    <a:srcRect/>
                    <a:stretch>
                      <a:fillRect/>
                    </a:stretch>
                  </pic:blipFill>
                  <pic:spPr>
                    <a:xfrm>
                      <a:off x="0" y="0"/>
                      <a:ext cx="5086350" cy="2445113"/>
                    </a:xfrm>
                    <a:prstGeom prst="rect">
                      <a:avLst/>
                    </a:prstGeom>
                    <a:ln/>
                  </pic:spPr>
                </pic:pic>
              </a:graphicData>
            </a:graphic>
          </wp:inline>
        </w:drawing>
      </w:r>
      <w:r>
        <w:br w:type="page"/>
      </w:r>
    </w:p>
    <w:p w14:paraId="71B5DC4A" w14:textId="77777777" w:rsidR="00817C1B" w:rsidRDefault="00392EBA">
      <w:pPr>
        <w:pStyle w:val="Heading3"/>
        <w:jc w:val="both"/>
        <w:rPr>
          <w:color w:val="741B47"/>
        </w:rPr>
      </w:pPr>
      <w:bookmarkStart w:id="10" w:name="_1um6pvvoky83" w:colFirst="0" w:colLast="0"/>
      <w:bookmarkEnd w:id="10"/>
      <w:r>
        <w:rPr>
          <w:color w:val="741B47"/>
        </w:rPr>
        <w:lastRenderedPageBreak/>
        <w:t>Effect of Double Option Exposure on Profitability</w:t>
      </w:r>
    </w:p>
    <w:p w14:paraId="68D0F60C" w14:textId="77777777" w:rsidR="00817C1B" w:rsidRDefault="00817C1B"/>
    <w:p w14:paraId="337C0B3E" w14:textId="77777777" w:rsidR="00817C1B" w:rsidRDefault="00392EBA">
      <w:pPr>
        <w:jc w:val="both"/>
      </w:pPr>
      <w:r>
        <w:t>More qualified investors may wonder if it would not be worth</w:t>
      </w:r>
      <w:r>
        <w:rPr>
          <w:b/>
        </w:rPr>
        <w:t xml:space="preserve"> playing with double option exposure, as the beta of the required ATM put option is 50%</w:t>
      </w:r>
      <w:r>
        <w:t xml:space="preserve"> (at the time of buying). Obviously, </w:t>
      </w:r>
      <w:r>
        <w:rPr>
          <w:b/>
        </w:rPr>
        <w:t>the 1-</w:t>
      </w:r>
      <w:r>
        <w:rPr>
          <w:b/>
        </w:rPr>
        <w:t>1 stock-option proportion (100% option exposure) is enough for hedging, but the strategy cannot be profitable in bearish regimes</w:t>
      </w:r>
      <w:r>
        <w:t xml:space="preserve"> (</w:t>
      </w:r>
      <w:r>
        <w:rPr>
          <w:b/>
        </w:rPr>
        <w:t>only the risk and thus the loss is limited</w:t>
      </w:r>
      <w:r>
        <w:t xml:space="preserve"> in the price of the put option). Conversely, </w:t>
      </w:r>
      <w:r>
        <w:rPr>
          <w:b/>
        </w:rPr>
        <w:t>if the strategy was playing with doubl</w:t>
      </w:r>
      <w:r>
        <w:rPr>
          <w:b/>
        </w:rPr>
        <w:t>e option exposure, it could even make profit in hard times</w:t>
      </w:r>
      <w:r>
        <w:t>.</w:t>
      </w:r>
    </w:p>
    <w:p w14:paraId="38C81E0B" w14:textId="77777777" w:rsidR="00817C1B" w:rsidRDefault="00817C1B">
      <w:pPr>
        <w:jc w:val="both"/>
      </w:pPr>
    </w:p>
    <w:p w14:paraId="703561A3" w14:textId="77777777" w:rsidR="00817C1B" w:rsidRDefault="00392EBA">
      <w:pPr>
        <w:jc w:val="both"/>
        <w:rPr>
          <w:b/>
        </w:rPr>
      </w:pPr>
      <w:r>
        <w:t>Chart 10 and Table 4 show the PV of the Put Option Insurance Strategy with Double Option Exposure and can be compared to the base Put Insurance Strategy (with 100% option exposure)(Table 2b again</w:t>
      </w:r>
      <w:r>
        <w:t xml:space="preserve">). </w:t>
      </w:r>
      <w:r>
        <w:rPr>
          <w:b/>
        </w:rPr>
        <w:t xml:space="preserve">It can be seen that since the start of </w:t>
      </w:r>
      <w:proofErr w:type="spellStart"/>
      <w:r>
        <w:rPr>
          <w:b/>
        </w:rPr>
        <w:t>backtest</w:t>
      </w:r>
      <w:proofErr w:type="spellEnd"/>
      <w:r>
        <w:rPr>
          <w:b/>
        </w:rPr>
        <w:t xml:space="preserve"> (2011), only in 2018 was more profitable the ‘double exposure’ version, thanks to the big correction in the second half of that year. Naturally, the situation would be different in bearish regimes. But, as</w:t>
      </w:r>
      <w:r>
        <w:rPr>
          <w:b/>
        </w:rPr>
        <w:t xml:space="preserve"> it was mentioned above, the cost of options is about 2% (depends on the market volatility) per month, which is about 24% per year. If double exposure was used, this 24% would increase to almost 50% (!) per year. Of course, it can be profitable in deep bea</w:t>
      </w:r>
      <w:r>
        <w:rPr>
          <w:b/>
        </w:rPr>
        <w:t>rish environment, but in this case a pure put option strategy would be more appropriate (without long QQQ part).</w:t>
      </w:r>
    </w:p>
    <w:p w14:paraId="4AEF9BA8" w14:textId="77777777" w:rsidR="00817C1B" w:rsidRDefault="00817C1B">
      <w:pPr>
        <w:jc w:val="both"/>
      </w:pPr>
    </w:p>
    <w:p w14:paraId="6533562B" w14:textId="77777777" w:rsidR="00817C1B" w:rsidRDefault="00392EBA">
      <w:pPr>
        <w:jc w:val="both"/>
        <w:rPr>
          <w:b/>
        </w:rPr>
      </w:pPr>
      <w:r>
        <w:t>In our opinion,</w:t>
      </w:r>
      <w:r>
        <w:rPr>
          <w:b/>
        </w:rPr>
        <w:t xml:space="preserve"> double exposure should not be used in case of either bull or bear markets.</w:t>
      </w:r>
    </w:p>
    <w:p w14:paraId="7D7D9D2A" w14:textId="77777777" w:rsidR="00817C1B" w:rsidRDefault="00817C1B">
      <w:pPr>
        <w:jc w:val="both"/>
      </w:pPr>
    </w:p>
    <w:p w14:paraId="57034386" w14:textId="77777777" w:rsidR="00817C1B" w:rsidRDefault="00392EBA">
      <w:pPr>
        <w:jc w:val="center"/>
        <w:rPr>
          <w:sz w:val="18"/>
          <w:szCs w:val="18"/>
        </w:rPr>
      </w:pPr>
      <w:r>
        <w:rPr>
          <w:sz w:val="18"/>
          <w:szCs w:val="18"/>
        </w:rPr>
        <w:t>Chart 10: PV of QQQ Put Insurance Strategy with Do</w:t>
      </w:r>
      <w:r>
        <w:rPr>
          <w:sz w:val="18"/>
          <w:szCs w:val="18"/>
        </w:rPr>
        <w:t>uble Option Exposure</w:t>
      </w:r>
    </w:p>
    <w:p w14:paraId="334261D8" w14:textId="77777777" w:rsidR="00817C1B" w:rsidRDefault="00392EBA">
      <w:pPr>
        <w:jc w:val="center"/>
        <w:rPr>
          <w:sz w:val="18"/>
          <w:szCs w:val="18"/>
        </w:rPr>
      </w:pPr>
      <w:r>
        <w:rPr>
          <w:noProof/>
          <w:sz w:val="18"/>
          <w:szCs w:val="18"/>
        </w:rPr>
        <w:drawing>
          <wp:inline distT="114300" distB="114300" distL="114300" distR="114300" wp14:anchorId="039ECD6B" wp14:editId="7E3B3A83">
            <wp:extent cx="7052400" cy="4241800"/>
            <wp:effectExtent l="0" t="0" r="0" b="0"/>
            <wp:docPr id="35" name="image35.png"/>
            <wp:cNvGraphicFramePr/>
            <a:graphic xmlns:a="http://schemas.openxmlformats.org/drawingml/2006/main">
              <a:graphicData uri="http://schemas.openxmlformats.org/drawingml/2006/picture">
                <pic:pic xmlns:pic="http://schemas.openxmlformats.org/drawingml/2006/picture">
                  <pic:nvPicPr>
                    <pic:cNvPr id="0" name="image35.png"/>
                    <pic:cNvPicPr preferRelativeResize="0"/>
                  </pic:nvPicPr>
                  <pic:blipFill>
                    <a:blip r:embed="rId36"/>
                    <a:srcRect/>
                    <a:stretch>
                      <a:fillRect/>
                    </a:stretch>
                  </pic:blipFill>
                  <pic:spPr>
                    <a:xfrm>
                      <a:off x="0" y="0"/>
                      <a:ext cx="7052400" cy="4241800"/>
                    </a:xfrm>
                    <a:prstGeom prst="rect">
                      <a:avLst/>
                    </a:prstGeom>
                    <a:ln/>
                  </pic:spPr>
                </pic:pic>
              </a:graphicData>
            </a:graphic>
          </wp:inline>
        </w:drawing>
      </w:r>
    </w:p>
    <w:p w14:paraId="14B0601B" w14:textId="77777777" w:rsidR="00817C1B" w:rsidRDefault="00392EBA">
      <w:pPr>
        <w:jc w:val="center"/>
        <w:rPr>
          <w:sz w:val="18"/>
          <w:szCs w:val="18"/>
        </w:rPr>
      </w:pPr>
      <w:r>
        <w:br w:type="page"/>
      </w:r>
    </w:p>
    <w:p w14:paraId="4D63ADF8" w14:textId="77777777" w:rsidR="00817C1B" w:rsidRDefault="00392EBA">
      <w:pPr>
        <w:jc w:val="center"/>
        <w:rPr>
          <w:sz w:val="18"/>
          <w:szCs w:val="18"/>
        </w:rPr>
      </w:pPr>
      <w:r>
        <w:rPr>
          <w:sz w:val="18"/>
          <w:szCs w:val="18"/>
        </w:rPr>
        <w:lastRenderedPageBreak/>
        <w:t>Table 4: Performance indicators of QQQ Put Option Insurance Strategy with Double Option Exposure - (long stock + 200% long put option)</w:t>
      </w:r>
    </w:p>
    <w:p w14:paraId="0415EBD9" w14:textId="77777777" w:rsidR="00817C1B" w:rsidRDefault="00392EBA">
      <w:pPr>
        <w:jc w:val="center"/>
        <w:rPr>
          <w:sz w:val="18"/>
          <w:szCs w:val="18"/>
        </w:rPr>
      </w:pPr>
      <w:r>
        <w:rPr>
          <w:noProof/>
          <w:sz w:val="18"/>
          <w:szCs w:val="18"/>
        </w:rPr>
        <w:drawing>
          <wp:inline distT="114300" distB="114300" distL="114300" distR="114300" wp14:anchorId="4140C015" wp14:editId="6C15AF48">
            <wp:extent cx="7052400" cy="2565400"/>
            <wp:effectExtent l="0" t="0" r="0" b="0"/>
            <wp:docPr id="53" name="image47.png"/>
            <wp:cNvGraphicFramePr/>
            <a:graphic xmlns:a="http://schemas.openxmlformats.org/drawingml/2006/main">
              <a:graphicData uri="http://schemas.openxmlformats.org/drawingml/2006/picture">
                <pic:pic xmlns:pic="http://schemas.openxmlformats.org/drawingml/2006/picture">
                  <pic:nvPicPr>
                    <pic:cNvPr id="0" name="image47.png"/>
                    <pic:cNvPicPr preferRelativeResize="0"/>
                  </pic:nvPicPr>
                  <pic:blipFill>
                    <a:blip r:embed="rId37"/>
                    <a:srcRect/>
                    <a:stretch>
                      <a:fillRect/>
                    </a:stretch>
                  </pic:blipFill>
                  <pic:spPr>
                    <a:xfrm>
                      <a:off x="0" y="0"/>
                      <a:ext cx="7052400" cy="2565400"/>
                    </a:xfrm>
                    <a:prstGeom prst="rect">
                      <a:avLst/>
                    </a:prstGeom>
                    <a:ln/>
                  </pic:spPr>
                </pic:pic>
              </a:graphicData>
            </a:graphic>
          </wp:inline>
        </w:drawing>
      </w:r>
    </w:p>
    <w:p w14:paraId="580594C2" w14:textId="77777777" w:rsidR="00817C1B" w:rsidRDefault="00817C1B">
      <w:pPr>
        <w:jc w:val="center"/>
        <w:rPr>
          <w:sz w:val="18"/>
          <w:szCs w:val="18"/>
        </w:rPr>
      </w:pPr>
    </w:p>
    <w:p w14:paraId="6928C7C4" w14:textId="77777777" w:rsidR="00817C1B" w:rsidRDefault="00392EBA">
      <w:pPr>
        <w:jc w:val="center"/>
        <w:rPr>
          <w:sz w:val="18"/>
          <w:szCs w:val="18"/>
        </w:rPr>
      </w:pPr>
      <w:r>
        <w:rPr>
          <w:sz w:val="18"/>
          <w:szCs w:val="18"/>
        </w:rPr>
        <w:t>Table 2b: Performance indicators of QQQ Put Option Insurance Strategy - (long stock + long put option)</w:t>
      </w:r>
    </w:p>
    <w:p w14:paraId="5C849C9E" w14:textId="77777777" w:rsidR="00817C1B" w:rsidRDefault="00392EBA">
      <w:pPr>
        <w:jc w:val="center"/>
        <w:rPr>
          <w:sz w:val="18"/>
          <w:szCs w:val="18"/>
        </w:rPr>
      </w:pPr>
      <w:r>
        <w:rPr>
          <w:noProof/>
          <w:sz w:val="18"/>
          <w:szCs w:val="18"/>
        </w:rPr>
        <w:drawing>
          <wp:inline distT="114300" distB="114300" distL="114300" distR="114300" wp14:anchorId="16F24C34" wp14:editId="686221DB">
            <wp:extent cx="7083788" cy="2590800"/>
            <wp:effectExtent l="0" t="0" r="0" b="0"/>
            <wp:docPr id="110" name="image83.png"/>
            <wp:cNvGraphicFramePr/>
            <a:graphic xmlns:a="http://schemas.openxmlformats.org/drawingml/2006/main">
              <a:graphicData uri="http://schemas.openxmlformats.org/drawingml/2006/picture">
                <pic:pic xmlns:pic="http://schemas.openxmlformats.org/drawingml/2006/picture">
                  <pic:nvPicPr>
                    <pic:cNvPr id="0" name="image83.png"/>
                    <pic:cNvPicPr preferRelativeResize="0"/>
                  </pic:nvPicPr>
                  <pic:blipFill>
                    <a:blip r:embed="rId22"/>
                    <a:srcRect/>
                    <a:stretch>
                      <a:fillRect/>
                    </a:stretch>
                  </pic:blipFill>
                  <pic:spPr>
                    <a:xfrm>
                      <a:off x="0" y="0"/>
                      <a:ext cx="7083788" cy="2590800"/>
                    </a:xfrm>
                    <a:prstGeom prst="rect">
                      <a:avLst/>
                    </a:prstGeom>
                    <a:ln/>
                  </pic:spPr>
                </pic:pic>
              </a:graphicData>
            </a:graphic>
          </wp:inline>
        </w:drawing>
      </w:r>
    </w:p>
    <w:p w14:paraId="6679413F" w14:textId="77777777" w:rsidR="00817C1B" w:rsidRDefault="00392EBA">
      <w:pPr>
        <w:jc w:val="center"/>
        <w:rPr>
          <w:sz w:val="18"/>
          <w:szCs w:val="18"/>
        </w:rPr>
      </w:pPr>
      <w:r>
        <w:br w:type="page"/>
      </w:r>
    </w:p>
    <w:p w14:paraId="54C904A6" w14:textId="77777777" w:rsidR="00817C1B" w:rsidRDefault="00392EBA">
      <w:pPr>
        <w:pStyle w:val="Heading3"/>
        <w:jc w:val="both"/>
        <w:rPr>
          <w:color w:val="741B47"/>
        </w:rPr>
      </w:pPr>
      <w:bookmarkStart w:id="11" w:name="_74cyyy6tuybv" w:colFirst="0" w:colLast="0"/>
      <w:bookmarkEnd w:id="11"/>
      <w:r>
        <w:rPr>
          <w:color w:val="741B47"/>
        </w:rPr>
        <w:lastRenderedPageBreak/>
        <w:t>Extending Q</w:t>
      </w:r>
      <w:r>
        <w:rPr>
          <w:color w:val="741B47"/>
        </w:rPr>
        <w:t>QQ Put Option Insurance Strategy with Bonds</w:t>
      </w:r>
    </w:p>
    <w:p w14:paraId="3EC42A53" w14:textId="77777777" w:rsidR="00817C1B" w:rsidRDefault="00817C1B"/>
    <w:p w14:paraId="069879B6" w14:textId="77777777" w:rsidR="00817C1B" w:rsidRDefault="00392EBA">
      <w:pPr>
        <w:jc w:val="both"/>
      </w:pPr>
      <w:r>
        <w:t xml:space="preserve">As it was mentioned above, using </w:t>
      </w:r>
      <w:r>
        <w:rPr>
          <w:b/>
        </w:rPr>
        <w:t>100% put option exposure can be a good hedge, but the strategy could not be profitable in bearish or sideways regimes.</w:t>
      </w:r>
      <w:r>
        <w:t xml:space="preserve"> </w:t>
      </w:r>
      <w:r>
        <w:rPr>
          <w:b/>
        </w:rPr>
        <w:t>Double exposure is too expensive.</w:t>
      </w:r>
      <w:r>
        <w:t xml:space="preserve"> The question may be </w:t>
      </w:r>
      <w:r>
        <w:rPr>
          <w:b/>
        </w:rPr>
        <w:t>how t</w:t>
      </w:r>
      <w:r>
        <w:rPr>
          <w:b/>
        </w:rPr>
        <w:t>o hedge it more cost-effectively while making the strategy even profitable in bearish or sideways regimes</w:t>
      </w:r>
      <w:r>
        <w:t>. An obvious idea to overcome the big cost is</w:t>
      </w:r>
      <w:r>
        <w:rPr>
          <w:b/>
        </w:rPr>
        <w:t xml:space="preserve"> using bond (e.g. TLT) as a portion of the hedge.</w:t>
      </w:r>
      <w:r>
        <w:t xml:space="preserve"> TLT hedge is </w:t>
      </w:r>
      <w:r>
        <w:rPr>
          <w:b/>
        </w:rPr>
        <w:t>not perfectly correlated to QQQ</w:t>
      </w:r>
      <w:r>
        <w:t xml:space="preserve">, but the </w:t>
      </w:r>
      <w:r>
        <w:rPr>
          <w:b/>
        </w:rPr>
        <w:t>di</w:t>
      </w:r>
      <w:r>
        <w:rPr>
          <w:b/>
        </w:rPr>
        <w:t>vidend yield</w:t>
      </w:r>
      <w:r>
        <w:t xml:space="preserve"> and the </w:t>
      </w:r>
      <w:r>
        <w:rPr>
          <w:b/>
        </w:rPr>
        <w:t>appreciation</w:t>
      </w:r>
      <w:r>
        <w:t xml:space="preserve"> can cover the QQQ Put costs partially.</w:t>
      </w:r>
    </w:p>
    <w:p w14:paraId="22820081" w14:textId="77777777" w:rsidR="00817C1B" w:rsidRDefault="00817C1B">
      <w:pPr>
        <w:jc w:val="both"/>
      </w:pPr>
    </w:p>
    <w:p w14:paraId="705A0FFB" w14:textId="77777777" w:rsidR="00817C1B" w:rsidRDefault="00392EBA">
      <w:pPr>
        <w:jc w:val="both"/>
      </w:pPr>
      <w:r>
        <w:t xml:space="preserve">At first, the </w:t>
      </w:r>
      <w:r>
        <w:rPr>
          <w:b/>
        </w:rPr>
        <w:t>beta of TLT has to be determined if we want to use it as a hedge</w:t>
      </w:r>
      <w:r>
        <w:t xml:space="preserve">. Chart 11a shows the </w:t>
      </w:r>
      <w:r>
        <w:rPr>
          <w:b/>
        </w:rPr>
        <w:t>scatter plot of 1 month percentage changes of QQQ and TLT</w:t>
      </w:r>
      <w:r>
        <w:t>. The linear regression e</w:t>
      </w:r>
      <w:r>
        <w:t>quation can also be found in chart:</w:t>
      </w:r>
      <w:r>
        <w:rPr>
          <w:b/>
        </w:rPr>
        <w:t xml:space="preserve"> </w:t>
      </w:r>
      <w:proofErr w:type="spellStart"/>
      <w:r>
        <w:rPr>
          <w:b/>
        </w:rPr>
        <w:t>QQQ%Change</w:t>
      </w:r>
      <w:proofErr w:type="spellEnd"/>
      <w:r>
        <w:rPr>
          <w:b/>
        </w:rPr>
        <w:t xml:space="preserve"> = -0.6064*</w:t>
      </w:r>
      <w:proofErr w:type="spellStart"/>
      <w:r>
        <w:rPr>
          <w:b/>
        </w:rPr>
        <w:t>TLT%Change</w:t>
      </w:r>
      <w:proofErr w:type="spellEnd"/>
      <w:r>
        <w:rPr>
          <w:b/>
        </w:rPr>
        <w:t xml:space="preserve"> + 0.0179.</w:t>
      </w:r>
      <w:r>
        <w:t xml:space="preserve"> It means that </w:t>
      </w:r>
      <w:r>
        <w:rPr>
          <w:b/>
        </w:rPr>
        <w:t>the beta of QQQ compared to TLT is about -0.6 in the examined period (with R</w:t>
      </w:r>
      <w:r>
        <w:rPr>
          <w:b/>
          <w:vertAlign w:val="superscript"/>
        </w:rPr>
        <w:t>2</w:t>
      </w:r>
      <w:r>
        <w:rPr>
          <w:b/>
        </w:rPr>
        <w:t xml:space="preserve">=0.2073 </w:t>
      </w:r>
      <m:oMath>
        <m:r>
          <m:rPr>
            <m:sty m:val="bi"/>
          </m:rPr>
          <w:rPr>
            <w:rFonts w:ascii="Cambria Math" w:hAnsi="Cambria Math"/>
          </w:rPr>
          <m:t>⇒</m:t>
        </m:r>
      </m:oMath>
      <w:r>
        <w:rPr>
          <w:b/>
          <w:i/>
        </w:rPr>
        <w:t>r</w:t>
      </w:r>
      <w:r>
        <w:rPr>
          <w:b/>
        </w:rPr>
        <w:t xml:space="preserve">=-0.46), </w:t>
      </w:r>
      <w:proofErr w:type="spellStart"/>
      <w:r>
        <w:rPr>
          <w:b/>
        </w:rPr>
        <w:t>ie</w:t>
      </w:r>
      <w:proofErr w:type="spellEnd"/>
      <w:r>
        <w:rPr>
          <w:b/>
        </w:rPr>
        <w:t>. 100% long QQQ stock can be hedged with 60% long TLT</w:t>
      </w:r>
      <w:r>
        <w:t>.</w:t>
      </w:r>
    </w:p>
    <w:p w14:paraId="4A23F616" w14:textId="77777777" w:rsidR="00817C1B" w:rsidRDefault="00817C1B">
      <w:pPr>
        <w:jc w:val="both"/>
      </w:pPr>
    </w:p>
    <w:p w14:paraId="60A48507" w14:textId="77777777" w:rsidR="00817C1B" w:rsidRDefault="00392EBA">
      <w:pPr>
        <w:jc w:val="both"/>
      </w:pPr>
      <w:r>
        <w:rPr>
          <w:b/>
        </w:rPr>
        <w:t>Risk prone</w:t>
      </w:r>
      <w:r>
        <w:rPr>
          <w:b/>
        </w:rPr>
        <w:t xml:space="preserve"> investors</w:t>
      </w:r>
      <w:r>
        <w:t xml:space="preserve"> may be interested in what would happen if we used a </w:t>
      </w:r>
      <w:r>
        <w:rPr>
          <w:b/>
        </w:rPr>
        <w:t>leveraged version</w:t>
      </w:r>
      <w:r>
        <w:t xml:space="preserve"> of TLT. The most obvious choice would be the </w:t>
      </w:r>
      <w:r>
        <w:rPr>
          <w:b/>
        </w:rPr>
        <w:t>TMV, which is triple leveraged inverse ETF (TMV=-3*TLT)</w:t>
      </w:r>
      <w:r>
        <w:t>. Chart 11b shows its scatter plot and equation. As it can be expected, the</w:t>
      </w:r>
      <w:r>
        <w:t xml:space="preserve"> </w:t>
      </w:r>
      <w:r>
        <w:rPr>
          <w:b/>
        </w:rPr>
        <w:t>beta of QQQ compared to TMV is about 0.2</w:t>
      </w:r>
      <w:r>
        <w:t xml:space="preserve"> (one third of TLT’s beta), </w:t>
      </w:r>
      <w:proofErr w:type="spellStart"/>
      <w:r>
        <w:t>ie</w:t>
      </w:r>
      <w:proofErr w:type="spellEnd"/>
      <w:r>
        <w:t xml:space="preserve">. </w:t>
      </w:r>
      <w:r>
        <w:rPr>
          <w:b/>
        </w:rPr>
        <w:t>100% long QQQ stock can be hedged with -20% short TMV</w:t>
      </w:r>
      <w:r>
        <w:t xml:space="preserve">. Shorting TMV could be </w:t>
      </w:r>
      <w:r>
        <w:rPr>
          <w:b/>
        </w:rPr>
        <w:t>more dangerous</w:t>
      </w:r>
      <w:r>
        <w:t xml:space="preserve"> (as the risk of shorting an ETF is unlimited), but we can benefit from the </w:t>
      </w:r>
      <w:r>
        <w:rPr>
          <w:b/>
        </w:rPr>
        <w:t>positive effects</w:t>
      </w:r>
      <w:r>
        <w:rPr>
          <w:b/>
        </w:rPr>
        <w:t xml:space="preserve"> of volatility drag</w:t>
      </w:r>
      <w:r>
        <w:t>.</w:t>
      </w:r>
    </w:p>
    <w:p w14:paraId="229051FC" w14:textId="77777777" w:rsidR="00817C1B" w:rsidRDefault="00817C1B">
      <w:pPr>
        <w:jc w:val="both"/>
      </w:pPr>
    </w:p>
    <w:p w14:paraId="15A5EE5E" w14:textId="77777777" w:rsidR="00817C1B" w:rsidRDefault="00392EBA">
      <w:pPr>
        <w:jc w:val="both"/>
        <w:rPr>
          <w:b/>
        </w:rPr>
      </w:pPr>
      <w:r>
        <w:t xml:space="preserve">Chart 12 presents the </w:t>
      </w:r>
      <w:r>
        <w:rPr>
          <w:b/>
        </w:rPr>
        <w:t>1 month rolling correlation of daily percentage changes of QQQ and TLT</w:t>
      </w:r>
      <w:r>
        <w:t xml:space="preserve">. Based on this chart it can be concluded that </w:t>
      </w:r>
      <w:r>
        <w:rPr>
          <w:b/>
        </w:rPr>
        <w:t xml:space="preserve">in bearish regimes the linear correlation is close to the above mentioned </w:t>
      </w:r>
      <w:r>
        <w:rPr>
          <w:b/>
          <w:i/>
        </w:rPr>
        <w:t>r</w:t>
      </w:r>
      <w:r>
        <w:rPr>
          <w:b/>
        </w:rPr>
        <w:t xml:space="preserve">=-0.46, which means </w:t>
      </w:r>
      <w:r>
        <w:rPr>
          <w:b/>
        </w:rPr>
        <w:t>that this beta=-0.6 could be optimal in these hard times</w:t>
      </w:r>
      <w:r>
        <w:t>. It is worth noting that</w:t>
      </w:r>
      <w:r>
        <w:rPr>
          <w:b/>
        </w:rPr>
        <w:t xml:space="preserve"> in bullish times the correlation is positive, i.e. both the long QQQ part and the long TLT hedge part can generate profit at the same time (they move in the same direction). This is what put option cannot do.</w:t>
      </w:r>
    </w:p>
    <w:p w14:paraId="19B63A02" w14:textId="77777777" w:rsidR="00817C1B" w:rsidRDefault="00392EBA">
      <w:pPr>
        <w:jc w:val="center"/>
      </w:pPr>
      <w:r>
        <w:rPr>
          <w:sz w:val="18"/>
          <w:szCs w:val="18"/>
        </w:rPr>
        <w:t>Chart 11a: Linear regression: 1-month percenta</w:t>
      </w:r>
      <w:r>
        <w:rPr>
          <w:sz w:val="18"/>
          <w:szCs w:val="18"/>
        </w:rPr>
        <w:t>ge change of QQQ and TLT</w:t>
      </w:r>
    </w:p>
    <w:p w14:paraId="7EDC187E" w14:textId="77777777" w:rsidR="00817C1B" w:rsidRDefault="00392EBA">
      <w:pPr>
        <w:jc w:val="center"/>
        <w:rPr>
          <w:sz w:val="18"/>
          <w:szCs w:val="18"/>
        </w:rPr>
      </w:pPr>
      <w:r>
        <w:rPr>
          <w:noProof/>
          <w:sz w:val="18"/>
          <w:szCs w:val="18"/>
        </w:rPr>
        <w:drawing>
          <wp:inline distT="114300" distB="114300" distL="114300" distR="114300" wp14:anchorId="17B9CCE4" wp14:editId="4DF603BF">
            <wp:extent cx="6553200" cy="3683363"/>
            <wp:effectExtent l="0" t="0" r="0" b="0"/>
            <wp:docPr id="21"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38"/>
                    <a:srcRect/>
                    <a:stretch>
                      <a:fillRect/>
                    </a:stretch>
                  </pic:blipFill>
                  <pic:spPr>
                    <a:xfrm>
                      <a:off x="0" y="0"/>
                      <a:ext cx="6553200" cy="3683363"/>
                    </a:xfrm>
                    <a:prstGeom prst="rect">
                      <a:avLst/>
                    </a:prstGeom>
                    <a:ln/>
                  </pic:spPr>
                </pic:pic>
              </a:graphicData>
            </a:graphic>
          </wp:inline>
        </w:drawing>
      </w:r>
    </w:p>
    <w:p w14:paraId="5CA49BB3" w14:textId="77777777" w:rsidR="00817C1B" w:rsidRDefault="00392EBA">
      <w:pPr>
        <w:jc w:val="center"/>
        <w:rPr>
          <w:sz w:val="18"/>
          <w:szCs w:val="18"/>
        </w:rPr>
      </w:pPr>
      <w:r>
        <w:rPr>
          <w:sz w:val="18"/>
          <w:szCs w:val="18"/>
        </w:rPr>
        <w:t>Chart 11b: Linear regression: 1-month percentage change of QQQ and TLT</w:t>
      </w:r>
    </w:p>
    <w:p w14:paraId="31F5FAAB" w14:textId="77777777" w:rsidR="00817C1B" w:rsidRDefault="00392EBA">
      <w:pPr>
        <w:jc w:val="center"/>
        <w:rPr>
          <w:sz w:val="18"/>
          <w:szCs w:val="18"/>
        </w:rPr>
      </w:pPr>
      <w:r>
        <w:rPr>
          <w:noProof/>
          <w:sz w:val="18"/>
          <w:szCs w:val="18"/>
        </w:rPr>
        <w:lastRenderedPageBreak/>
        <w:drawing>
          <wp:inline distT="114300" distB="114300" distL="114300" distR="114300" wp14:anchorId="71FA83B6" wp14:editId="329BC857">
            <wp:extent cx="7052400" cy="4330700"/>
            <wp:effectExtent l="0" t="0" r="0" b="0"/>
            <wp:docPr id="46" name="image49.png"/>
            <wp:cNvGraphicFramePr/>
            <a:graphic xmlns:a="http://schemas.openxmlformats.org/drawingml/2006/main">
              <a:graphicData uri="http://schemas.openxmlformats.org/drawingml/2006/picture">
                <pic:pic xmlns:pic="http://schemas.openxmlformats.org/drawingml/2006/picture">
                  <pic:nvPicPr>
                    <pic:cNvPr id="0" name="image49.png"/>
                    <pic:cNvPicPr preferRelativeResize="0"/>
                  </pic:nvPicPr>
                  <pic:blipFill>
                    <a:blip r:embed="rId39"/>
                    <a:srcRect/>
                    <a:stretch>
                      <a:fillRect/>
                    </a:stretch>
                  </pic:blipFill>
                  <pic:spPr>
                    <a:xfrm>
                      <a:off x="0" y="0"/>
                      <a:ext cx="7052400" cy="4330700"/>
                    </a:xfrm>
                    <a:prstGeom prst="rect">
                      <a:avLst/>
                    </a:prstGeom>
                    <a:ln/>
                  </pic:spPr>
                </pic:pic>
              </a:graphicData>
            </a:graphic>
          </wp:inline>
        </w:drawing>
      </w:r>
    </w:p>
    <w:p w14:paraId="449E4764" w14:textId="77777777" w:rsidR="00817C1B" w:rsidRDefault="00392EBA">
      <w:pPr>
        <w:jc w:val="center"/>
        <w:rPr>
          <w:sz w:val="18"/>
          <w:szCs w:val="18"/>
        </w:rPr>
      </w:pPr>
      <w:r>
        <w:rPr>
          <w:sz w:val="18"/>
          <w:szCs w:val="18"/>
        </w:rPr>
        <w:t>Chart 12: 1-month rolling correlation - daily percentage change of QQQ and TLT</w:t>
      </w:r>
    </w:p>
    <w:p w14:paraId="072595EF" w14:textId="77777777" w:rsidR="00817C1B" w:rsidRDefault="00392EBA">
      <w:pPr>
        <w:jc w:val="center"/>
        <w:rPr>
          <w:sz w:val="18"/>
          <w:szCs w:val="18"/>
        </w:rPr>
      </w:pPr>
      <w:r>
        <w:rPr>
          <w:noProof/>
          <w:sz w:val="18"/>
          <w:szCs w:val="18"/>
        </w:rPr>
        <w:drawing>
          <wp:inline distT="114300" distB="114300" distL="114300" distR="114300" wp14:anchorId="1D6188C0" wp14:editId="41C7EABE">
            <wp:extent cx="7052400" cy="3873500"/>
            <wp:effectExtent l="0" t="0" r="0" b="0"/>
            <wp:docPr id="136" name="image127.png"/>
            <wp:cNvGraphicFramePr/>
            <a:graphic xmlns:a="http://schemas.openxmlformats.org/drawingml/2006/main">
              <a:graphicData uri="http://schemas.openxmlformats.org/drawingml/2006/picture">
                <pic:pic xmlns:pic="http://schemas.openxmlformats.org/drawingml/2006/picture">
                  <pic:nvPicPr>
                    <pic:cNvPr id="0" name="image127.png"/>
                    <pic:cNvPicPr preferRelativeResize="0"/>
                  </pic:nvPicPr>
                  <pic:blipFill>
                    <a:blip r:embed="rId40"/>
                    <a:srcRect/>
                    <a:stretch>
                      <a:fillRect/>
                    </a:stretch>
                  </pic:blipFill>
                  <pic:spPr>
                    <a:xfrm>
                      <a:off x="0" y="0"/>
                      <a:ext cx="7052400" cy="3873500"/>
                    </a:xfrm>
                    <a:prstGeom prst="rect">
                      <a:avLst/>
                    </a:prstGeom>
                    <a:ln/>
                  </pic:spPr>
                </pic:pic>
              </a:graphicData>
            </a:graphic>
          </wp:inline>
        </w:drawing>
      </w:r>
      <w:r>
        <w:br w:type="page"/>
      </w:r>
    </w:p>
    <w:p w14:paraId="47F593B1" w14:textId="77777777" w:rsidR="00817C1B" w:rsidRDefault="00392EBA">
      <w:pPr>
        <w:jc w:val="both"/>
      </w:pPr>
      <w:r>
        <w:lastRenderedPageBreak/>
        <w:t>Based on these findings, someone might think it would be worth extending t</w:t>
      </w:r>
      <w:r>
        <w:t xml:space="preserve">he Put Option Insurance Strategy with a bond hedge (long TLT or short TMV). </w:t>
      </w:r>
    </w:p>
    <w:p w14:paraId="332FCB0A" w14:textId="77777777" w:rsidR="00817C1B" w:rsidRDefault="00817C1B">
      <w:pPr>
        <w:jc w:val="both"/>
      </w:pPr>
    </w:p>
    <w:p w14:paraId="4B8CFB06" w14:textId="77777777" w:rsidR="00817C1B" w:rsidRDefault="00392EBA">
      <w:pPr>
        <w:jc w:val="both"/>
        <w:rPr>
          <w:b/>
        </w:rPr>
      </w:pPr>
      <w:r>
        <w:t xml:space="preserve">This will be our new </w:t>
      </w:r>
      <w:r>
        <w:rPr>
          <w:b/>
        </w:rPr>
        <w:t>‘Combined QQQ Insurance Strategy’:</w:t>
      </w:r>
    </w:p>
    <w:p w14:paraId="7A86FE73" w14:textId="77777777" w:rsidR="00817C1B" w:rsidRDefault="00392EBA">
      <w:pPr>
        <w:spacing w:before="120" w:line="273" w:lineRule="auto"/>
        <w:jc w:val="center"/>
      </w:pPr>
      <w:r>
        <w:rPr>
          <w:b/>
        </w:rPr>
        <w:t>100% long QQQ stock + 0.6*x% long TLT stock + (100-x)% long put option hedge</w:t>
      </w:r>
      <w:r>
        <w:t xml:space="preserve"> </w:t>
      </w:r>
      <w:r>
        <w:br/>
        <w:t>(100% long QQQ stock + 0.2*y% long TLT stock</w:t>
      </w:r>
      <w:r>
        <w:t xml:space="preserve"> + (100-y)% long put option hedge).</w:t>
      </w:r>
    </w:p>
    <w:p w14:paraId="27DC89D9" w14:textId="77777777" w:rsidR="00817C1B" w:rsidRDefault="00817C1B">
      <w:pPr>
        <w:jc w:val="both"/>
      </w:pPr>
    </w:p>
    <w:p w14:paraId="52A11E47" w14:textId="77777777" w:rsidR="00817C1B" w:rsidRDefault="00392EBA">
      <w:pPr>
        <w:jc w:val="both"/>
        <w:rPr>
          <w:b/>
        </w:rPr>
      </w:pPr>
      <w:r>
        <w:t xml:space="preserve">In order to determine the optimal value of x% (or y%), </w:t>
      </w:r>
      <w:r>
        <w:rPr>
          <w:b/>
        </w:rPr>
        <w:t xml:space="preserve">the performance indicators of this ‘Combined QQQ Insurance Strategy’ using different x% (or y%) can be found in Table 5a-b. In these tables, 0% means only put option part, while 100% means only bond part without put options. </w:t>
      </w:r>
      <w:r>
        <w:t>It can be concluded based on th</w:t>
      </w:r>
      <w:r>
        <w:t xml:space="preserve">ese figures that the </w:t>
      </w:r>
      <w:r>
        <w:rPr>
          <w:b/>
        </w:rPr>
        <w:t>‘only bond hedge’ part (x% or y%=100%) has the best performance, without put options</w:t>
      </w:r>
      <w:r>
        <w:t xml:space="preserve">. </w:t>
      </w:r>
      <w:r>
        <w:rPr>
          <w:b/>
        </w:rPr>
        <w:t>But</w:t>
      </w:r>
      <w:r>
        <w:t xml:space="preserve"> </w:t>
      </w:r>
      <w:r>
        <w:rPr>
          <w:b/>
        </w:rPr>
        <w:t>it has to be emphasized again that the examined period is mostly bullish without longer bear regimes or lot of corrections. Thus, omitting option</w:t>
      </w:r>
      <w:r>
        <w:rPr>
          <w:b/>
        </w:rPr>
        <w:t xml:space="preserve"> part without further examinations is not recommended.</w:t>
      </w:r>
    </w:p>
    <w:p w14:paraId="0A135879" w14:textId="77777777" w:rsidR="00817C1B" w:rsidRDefault="00817C1B">
      <w:pPr>
        <w:jc w:val="both"/>
        <w:rPr>
          <w:b/>
        </w:rPr>
      </w:pPr>
    </w:p>
    <w:p w14:paraId="2335C2CC" w14:textId="77777777" w:rsidR="00817C1B" w:rsidRDefault="00392EBA">
      <w:pPr>
        <w:jc w:val="both"/>
      </w:pPr>
      <w:r>
        <w:t xml:space="preserve">For further analysis, </w:t>
      </w:r>
      <w:r>
        <w:rPr>
          <w:b/>
        </w:rPr>
        <w:t>x%(=y%)=50% has been chosen</w:t>
      </w:r>
      <w:r>
        <w:t xml:space="preserve">. This choice </w:t>
      </w:r>
      <w:r>
        <w:rPr>
          <w:b/>
        </w:rPr>
        <w:t>does not seem over-optimised</w:t>
      </w:r>
      <w:r>
        <w:t>, most investors would probably choose this based on their intuitions.</w:t>
      </w:r>
    </w:p>
    <w:p w14:paraId="607EBF5C" w14:textId="77777777" w:rsidR="00817C1B" w:rsidRDefault="00817C1B">
      <w:pPr>
        <w:jc w:val="both"/>
      </w:pPr>
    </w:p>
    <w:p w14:paraId="79800F8C" w14:textId="77777777" w:rsidR="00817C1B" w:rsidRDefault="00392EBA">
      <w:pPr>
        <w:jc w:val="both"/>
      </w:pPr>
      <w:r>
        <w:t>Chart 13 shows portfolio value of thi</w:t>
      </w:r>
      <w:r>
        <w:t xml:space="preserve">s combined insurance strategy (both with long TLT and short TMV), while in Table 6a-b its performance indicators can be found (and can be compared to </w:t>
      </w:r>
      <w:proofErr w:type="spellStart"/>
      <w:r>
        <w:t>buy&amp;hold</w:t>
      </w:r>
      <w:proofErr w:type="spellEnd"/>
      <w:r>
        <w:t xml:space="preserve"> QQQ and QQQ Put Option Insurance Strategy - Table 2a-b). Based on these tables it can be conclude</w:t>
      </w:r>
      <w:r>
        <w:t xml:space="preserve">d that the </w:t>
      </w:r>
      <w:r>
        <w:rPr>
          <w:b/>
        </w:rPr>
        <w:t xml:space="preserve">CAGR of this ‘Combined QQQ Insurance Strategy’ (14.7%) is almost as high as in case of pure </w:t>
      </w:r>
      <w:proofErr w:type="spellStart"/>
      <w:r>
        <w:rPr>
          <w:b/>
        </w:rPr>
        <w:t>buy&amp;hold</w:t>
      </w:r>
      <w:proofErr w:type="spellEnd"/>
      <w:r>
        <w:rPr>
          <w:b/>
        </w:rPr>
        <w:t xml:space="preserve"> QQQ strategy (15.71%) and higher than in case of Put Option Insurance Strategy (10.46%), while other indicators are significantly better (e.g. M</w:t>
      </w:r>
      <w:r>
        <w:rPr>
          <w:b/>
        </w:rPr>
        <w:t xml:space="preserve">DD: combined strategy: 17.86%; pure </w:t>
      </w:r>
      <w:proofErr w:type="spellStart"/>
      <w:r>
        <w:rPr>
          <w:b/>
        </w:rPr>
        <w:t>buy&amp;hold</w:t>
      </w:r>
      <w:proofErr w:type="spellEnd"/>
      <w:r>
        <w:rPr>
          <w:b/>
        </w:rPr>
        <w:t xml:space="preserve">: 23.16%; put insurance: 14.73%). </w:t>
      </w:r>
      <w:r>
        <w:t xml:space="preserve">Furthermore, </w:t>
      </w:r>
      <w:r>
        <w:rPr>
          <w:b/>
        </w:rPr>
        <w:t xml:space="preserve">there is not significant difference between using the strategy with long TLT or short TMV. </w:t>
      </w:r>
      <w:r>
        <w:t xml:space="preserve">It is worth noting that the </w:t>
      </w:r>
      <w:r>
        <w:rPr>
          <w:b/>
        </w:rPr>
        <w:t>leverage of this combined strategy is about 13</w:t>
      </w:r>
      <w:r>
        <w:rPr>
          <w:b/>
        </w:rPr>
        <w:t>1%</w:t>
      </w:r>
      <w:r>
        <w:t xml:space="preserve"> (100% long QQQ + 30% long TLT + ~1% cost of 50% put option).</w:t>
      </w:r>
    </w:p>
    <w:p w14:paraId="40E179FA" w14:textId="77777777" w:rsidR="00817C1B" w:rsidRDefault="00817C1B">
      <w:pPr>
        <w:jc w:val="both"/>
      </w:pPr>
    </w:p>
    <w:p w14:paraId="25113913" w14:textId="77777777" w:rsidR="00817C1B" w:rsidRDefault="00392EBA">
      <w:pPr>
        <w:jc w:val="both"/>
        <w:rPr>
          <w:b/>
        </w:rPr>
      </w:pPr>
      <w:r>
        <w:t xml:space="preserve">Chart 14 also shows that </w:t>
      </w:r>
      <w:r>
        <w:rPr>
          <w:b/>
        </w:rPr>
        <w:t>the bond part does not perfectly hedge the long QQQ part</w:t>
      </w:r>
      <w:r>
        <w:t xml:space="preserve">, thus we recommend playing this strategy with x%=50%. Secondly, </w:t>
      </w:r>
      <w:r>
        <w:rPr>
          <w:b/>
        </w:rPr>
        <w:t>keeping some QQQ put part will fare very well</w:t>
      </w:r>
      <w:r>
        <w:rPr>
          <w:b/>
        </w:rPr>
        <w:t xml:space="preserve"> when the market surely experiences its next -50% drawdown in the future. Those -50% market drawdown periods are missing from our </w:t>
      </w:r>
      <w:proofErr w:type="spellStart"/>
      <w:r>
        <w:rPr>
          <w:b/>
        </w:rPr>
        <w:t>backtest</w:t>
      </w:r>
      <w:proofErr w:type="spellEnd"/>
      <w:r>
        <w:rPr>
          <w:b/>
        </w:rPr>
        <w:t>, but there is no doubt we will experience one of them in the following years.</w:t>
      </w:r>
    </w:p>
    <w:p w14:paraId="20C74BCC" w14:textId="77777777" w:rsidR="00817C1B" w:rsidRDefault="00817C1B">
      <w:pPr>
        <w:jc w:val="both"/>
      </w:pPr>
    </w:p>
    <w:p w14:paraId="18B385F0" w14:textId="77777777" w:rsidR="00817C1B" w:rsidRDefault="00392EBA">
      <w:pPr>
        <w:jc w:val="both"/>
      </w:pPr>
      <w:r>
        <w:t xml:space="preserve">Thus, our recommended </w:t>
      </w:r>
      <w:r>
        <w:rPr>
          <w:b/>
        </w:rPr>
        <w:t>‘Combined QQQ In</w:t>
      </w:r>
      <w:r>
        <w:rPr>
          <w:b/>
        </w:rPr>
        <w:t>surance Strategy’</w:t>
      </w:r>
      <w:r>
        <w:t xml:space="preserve"> is the following:</w:t>
      </w:r>
    </w:p>
    <w:p w14:paraId="3A25FDD6" w14:textId="77777777" w:rsidR="00817C1B" w:rsidRDefault="00392EBA">
      <w:pPr>
        <w:spacing w:before="120" w:line="273" w:lineRule="auto"/>
        <w:jc w:val="center"/>
        <w:rPr>
          <w:b/>
        </w:rPr>
      </w:pPr>
      <w:r>
        <w:rPr>
          <w:b/>
        </w:rPr>
        <w:t>100% long QQQ stock + 30% long TLT stock + 50% long put option hedge.</w:t>
      </w:r>
    </w:p>
    <w:p w14:paraId="5E87D6AD" w14:textId="77777777" w:rsidR="00817C1B" w:rsidRDefault="00817C1B">
      <w:pPr>
        <w:spacing w:before="120" w:line="273" w:lineRule="auto"/>
        <w:jc w:val="center"/>
        <w:rPr>
          <w:b/>
        </w:rPr>
      </w:pPr>
    </w:p>
    <w:p w14:paraId="1C43A62F" w14:textId="77777777" w:rsidR="00817C1B" w:rsidRDefault="00392EBA">
      <w:pPr>
        <w:spacing w:before="120" w:line="273" w:lineRule="auto"/>
        <w:jc w:val="both"/>
      </w:pPr>
      <w:r>
        <w:t xml:space="preserve">It is worth noting that </w:t>
      </w:r>
      <w:r>
        <w:rPr>
          <w:b/>
        </w:rPr>
        <w:t>the long TLT part is also rebalanced monthly, when the options expire and are rebalanced</w:t>
      </w:r>
      <w:r>
        <w:t>.</w:t>
      </w:r>
    </w:p>
    <w:p w14:paraId="6A4B0BCC" w14:textId="77777777" w:rsidR="00817C1B" w:rsidRDefault="00817C1B">
      <w:pPr>
        <w:spacing w:before="120" w:line="273" w:lineRule="auto"/>
        <w:jc w:val="center"/>
        <w:rPr>
          <w:b/>
        </w:rPr>
      </w:pPr>
    </w:p>
    <w:p w14:paraId="5C109030" w14:textId="77777777" w:rsidR="00817C1B" w:rsidRDefault="00392EBA">
      <w:pPr>
        <w:spacing w:before="120" w:line="273" w:lineRule="auto"/>
      </w:pPr>
      <w:r>
        <w:t>In the next chapter, this combined</w:t>
      </w:r>
      <w:r>
        <w:t xml:space="preserve"> insurance strategy will be investigated further using Monte-Carlo analysis.</w:t>
      </w:r>
    </w:p>
    <w:p w14:paraId="02785DAE" w14:textId="77777777" w:rsidR="00817C1B" w:rsidRDefault="00817C1B">
      <w:pPr>
        <w:jc w:val="both"/>
      </w:pPr>
    </w:p>
    <w:p w14:paraId="5EAE8053" w14:textId="77777777" w:rsidR="00817C1B" w:rsidRDefault="00817C1B">
      <w:pPr>
        <w:jc w:val="both"/>
      </w:pPr>
    </w:p>
    <w:p w14:paraId="677DDF1F" w14:textId="77777777" w:rsidR="00817C1B" w:rsidRDefault="00392EBA">
      <w:pPr>
        <w:jc w:val="center"/>
        <w:rPr>
          <w:sz w:val="18"/>
          <w:szCs w:val="18"/>
        </w:rPr>
      </w:pPr>
      <w:r>
        <w:br w:type="page"/>
      </w:r>
    </w:p>
    <w:p w14:paraId="62E5997A" w14:textId="77777777" w:rsidR="00817C1B" w:rsidRDefault="00392EBA">
      <w:pPr>
        <w:jc w:val="center"/>
        <w:rPr>
          <w:sz w:val="18"/>
          <w:szCs w:val="18"/>
        </w:rPr>
      </w:pPr>
      <w:r>
        <w:rPr>
          <w:sz w:val="18"/>
          <w:szCs w:val="18"/>
        </w:rPr>
        <w:lastRenderedPageBreak/>
        <w:t>Table 5a: Performance indicators of Combined QQQ Insurance Strategy - (long stock + long put option + long TLT)</w:t>
      </w:r>
    </w:p>
    <w:p w14:paraId="1D3DC8C5" w14:textId="77777777" w:rsidR="00817C1B" w:rsidRDefault="00392EBA">
      <w:pPr>
        <w:jc w:val="center"/>
        <w:rPr>
          <w:sz w:val="18"/>
          <w:szCs w:val="18"/>
        </w:rPr>
      </w:pPr>
      <w:r>
        <w:rPr>
          <w:noProof/>
          <w:sz w:val="18"/>
          <w:szCs w:val="18"/>
        </w:rPr>
        <w:drawing>
          <wp:inline distT="114300" distB="114300" distL="114300" distR="114300" wp14:anchorId="2D854F52" wp14:editId="6E40BD86">
            <wp:extent cx="6735959" cy="7588613"/>
            <wp:effectExtent l="0" t="0" r="0" b="0"/>
            <wp:docPr id="9"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41"/>
                    <a:srcRect/>
                    <a:stretch>
                      <a:fillRect/>
                    </a:stretch>
                  </pic:blipFill>
                  <pic:spPr>
                    <a:xfrm>
                      <a:off x="0" y="0"/>
                      <a:ext cx="6735959" cy="7588613"/>
                    </a:xfrm>
                    <a:prstGeom prst="rect">
                      <a:avLst/>
                    </a:prstGeom>
                    <a:ln/>
                  </pic:spPr>
                </pic:pic>
              </a:graphicData>
            </a:graphic>
          </wp:inline>
        </w:drawing>
      </w:r>
      <w:r>
        <w:br w:type="page"/>
      </w:r>
    </w:p>
    <w:p w14:paraId="664BF32C" w14:textId="77777777" w:rsidR="00817C1B" w:rsidRDefault="00392EBA">
      <w:pPr>
        <w:jc w:val="center"/>
        <w:rPr>
          <w:sz w:val="18"/>
          <w:szCs w:val="18"/>
        </w:rPr>
      </w:pPr>
      <w:r>
        <w:rPr>
          <w:sz w:val="18"/>
          <w:szCs w:val="18"/>
        </w:rPr>
        <w:lastRenderedPageBreak/>
        <w:t>Table 5b: Performance indicators of Combined QQQ Insurance S</w:t>
      </w:r>
      <w:r>
        <w:rPr>
          <w:sz w:val="18"/>
          <w:szCs w:val="18"/>
        </w:rPr>
        <w:t>trategy - (long stock + long put option + short TMV)</w:t>
      </w:r>
    </w:p>
    <w:p w14:paraId="0ABCD560" w14:textId="77777777" w:rsidR="00817C1B" w:rsidRDefault="00392EBA">
      <w:pPr>
        <w:jc w:val="center"/>
        <w:rPr>
          <w:sz w:val="18"/>
          <w:szCs w:val="18"/>
        </w:rPr>
      </w:pPr>
      <w:r>
        <w:rPr>
          <w:noProof/>
          <w:sz w:val="18"/>
          <w:szCs w:val="18"/>
        </w:rPr>
        <w:drawing>
          <wp:inline distT="114300" distB="114300" distL="114300" distR="114300" wp14:anchorId="44B3BB7C" wp14:editId="3E2C5CFD">
            <wp:extent cx="7052400" cy="7874000"/>
            <wp:effectExtent l="0" t="0" r="0" b="0"/>
            <wp:docPr id="49" name="image55.png"/>
            <wp:cNvGraphicFramePr/>
            <a:graphic xmlns:a="http://schemas.openxmlformats.org/drawingml/2006/main">
              <a:graphicData uri="http://schemas.openxmlformats.org/drawingml/2006/picture">
                <pic:pic xmlns:pic="http://schemas.openxmlformats.org/drawingml/2006/picture">
                  <pic:nvPicPr>
                    <pic:cNvPr id="0" name="image55.png"/>
                    <pic:cNvPicPr preferRelativeResize="0"/>
                  </pic:nvPicPr>
                  <pic:blipFill>
                    <a:blip r:embed="rId42"/>
                    <a:srcRect/>
                    <a:stretch>
                      <a:fillRect/>
                    </a:stretch>
                  </pic:blipFill>
                  <pic:spPr>
                    <a:xfrm>
                      <a:off x="0" y="0"/>
                      <a:ext cx="7052400" cy="7874000"/>
                    </a:xfrm>
                    <a:prstGeom prst="rect">
                      <a:avLst/>
                    </a:prstGeom>
                    <a:ln/>
                  </pic:spPr>
                </pic:pic>
              </a:graphicData>
            </a:graphic>
          </wp:inline>
        </w:drawing>
      </w:r>
      <w:r>
        <w:br w:type="page"/>
      </w:r>
    </w:p>
    <w:p w14:paraId="0952770E" w14:textId="77777777" w:rsidR="00817C1B" w:rsidRDefault="00392EBA">
      <w:pPr>
        <w:jc w:val="center"/>
        <w:rPr>
          <w:sz w:val="18"/>
          <w:szCs w:val="18"/>
        </w:rPr>
      </w:pPr>
      <w:r>
        <w:rPr>
          <w:sz w:val="18"/>
          <w:szCs w:val="18"/>
        </w:rPr>
        <w:lastRenderedPageBreak/>
        <w:t>Chart 13: PV of different strategies</w:t>
      </w:r>
    </w:p>
    <w:p w14:paraId="3BAE09E3" w14:textId="77777777" w:rsidR="00817C1B" w:rsidRDefault="00392EBA">
      <w:pPr>
        <w:jc w:val="center"/>
        <w:rPr>
          <w:sz w:val="18"/>
          <w:szCs w:val="18"/>
        </w:rPr>
      </w:pPr>
      <w:r>
        <w:rPr>
          <w:noProof/>
          <w:sz w:val="18"/>
          <w:szCs w:val="18"/>
        </w:rPr>
        <w:drawing>
          <wp:inline distT="114300" distB="114300" distL="114300" distR="114300" wp14:anchorId="46F820B0" wp14:editId="380AE46B">
            <wp:extent cx="7052400" cy="4191000"/>
            <wp:effectExtent l="0" t="0" r="0" b="0"/>
            <wp:docPr id="37" name="image43.png"/>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43"/>
                    <a:srcRect/>
                    <a:stretch>
                      <a:fillRect/>
                    </a:stretch>
                  </pic:blipFill>
                  <pic:spPr>
                    <a:xfrm>
                      <a:off x="0" y="0"/>
                      <a:ext cx="7052400" cy="4191000"/>
                    </a:xfrm>
                    <a:prstGeom prst="rect">
                      <a:avLst/>
                    </a:prstGeom>
                    <a:ln/>
                  </pic:spPr>
                </pic:pic>
              </a:graphicData>
            </a:graphic>
          </wp:inline>
        </w:drawing>
      </w:r>
    </w:p>
    <w:p w14:paraId="1EBE0CFA" w14:textId="77777777" w:rsidR="00817C1B" w:rsidRDefault="00817C1B">
      <w:pPr>
        <w:jc w:val="center"/>
        <w:rPr>
          <w:sz w:val="18"/>
          <w:szCs w:val="18"/>
        </w:rPr>
      </w:pPr>
    </w:p>
    <w:p w14:paraId="7C049F8B" w14:textId="77777777" w:rsidR="00817C1B" w:rsidRDefault="00817C1B">
      <w:pPr>
        <w:jc w:val="center"/>
        <w:rPr>
          <w:sz w:val="18"/>
          <w:szCs w:val="18"/>
        </w:rPr>
      </w:pPr>
    </w:p>
    <w:p w14:paraId="586997B2" w14:textId="77777777" w:rsidR="00817C1B" w:rsidRDefault="00392EBA">
      <w:pPr>
        <w:jc w:val="center"/>
        <w:rPr>
          <w:sz w:val="18"/>
          <w:szCs w:val="18"/>
        </w:rPr>
      </w:pPr>
      <w:r>
        <w:rPr>
          <w:sz w:val="18"/>
          <w:szCs w:val="18"/>
        </w:rPr>
        <w:t>Table 6a: Performance indicators of Combined QQQ Insurance Strategy - 50% long put option + 30% long TLT</w:t>
      </w:r>
    </w:p>
    <w:p w14:paraId="65ED7FC6" w14:textId="77777777" w:rsidR="00817C1B" w:rsidRDefault="00392EBA">
      <w:pPr>
        <w:jc w:val="center"/>
        <w:rPr>
          <w:sz w:val="18"/>
          <w:szCs w:val="18"/>
        </w:rPr>
      </w:pPr>
      <w:r>
        <w:rPr>
          <w:noProof/>
          <w:sz w:val="18"/>
          <w:szCs w:val="18"/>
        </w:rPr>
        <w:drawing>
          <wp:inline distT="114300" distB="114300" distL="114300" distR="114300" wp14:anchorId="14E9A69A" wp14:editId="62A93198">
            <wp:extent cx="6689363" cy="2684785"/>
            <wp:effectExtent l="0" t="0" r="0" b="0"/>
            <wp:docPr id="44" name="image44.png"/>
            <wp:cNvGraphicFramePr/>
            <a:graphic xmlns:a="http://schemas.openxmlformats.org/drawingml/2006/main">
              <a:graphicData uri="http://schemas.openxmlformats.org/drawingml/2006/picture">
                <pic:pic xmlns:pic="http://schemas.openxmlformats.org/drawingml/2006/picture">
                  <pic:nvPicPr>
                    <pic:cNvPr id="0" name="image44.png"/>
                    <pic:cNvPicPr preferRelativeResize="0"/>
                  </pic:nvPicPr>
                  <pic:blipFill>
                    <a:blip r:embed="rId44"/>
                    <a:srcRect/>
                    <a:stretch>
                      <a:fillRect/>
                    </a:stretch>
                  </pic:blipFill>
                  <pic:spPr>
                    <a:xfrm>
                      <a:off x="0" y="0"/>
                      <a:ext cx="6689363" cy="2684785"/>
                    </a:xfrm>
                    <a:prstGeom prst="rect">
                      <a:avLst/>
                    </a:prstGeom>
                    <a:ln/>
                  </pic:spPr>
                </pic:pic>
              </a:graphicData>
            </a:graphic>
          </wp:inline>
        </w:drawing>
      </w:r>
      <w:r>
        <w:br w:type="page"/>
      </w:r>
    </w:p>
    <w:p w14:paraId="634BAF49" w14:textId="77777777" w:rsidR="00817C1B" w:rsidRDefault="00392EBA">
      <w:pPr>
        <w:jc w:val="center"/>
        <w:rPr>
          <w:sz w:val="18"/>
          <w:szCs w:val="18"/>
        </w:rPr>
      </w:pPr>
      <w:r>
        <w:rPr>
          <w:sz w:val="18"/>
          <w:szCs w:val="18"/>
        </w:rPr>
        <w:lastRenderedPageBreak/>
        <w:t>Table 6b: Performance indicators of Combined QQQ Insurance Strategy - 50% long put option + 10% short TMV</w:t>
      </w:r>
    </w:p>
    <w:p w14:paraId="699073FC" w14:textId="77777777" w:rsidR="00817C1B" w:rsidRDefault="00392EBA">
      <w:pPr>
        <w:jc w:val="center"/>
        <w:rPr>
          <w:sz w:val="18"/>
          <w:szCs w:val="18"/>
        </w:rPr>
      </w:pPr>
      <w:r>
        <w:rPr>
          <w:noProof/>
          <w:sz w:val="18"/>
          <w:szCs w:val="18"/>
        </w:rPr>
        <w:drawing>
          <wp:inline distT="114300" distB="114300" distL="114300" distR="114300" wp14:anchorId="0FE07148" wp14:editId="3066A190">
            <wp:extent cx="6821396" cy="2740388"/>
            <wp:effectExtent l="0" t="0" r="0" b="0"/>
            <wp:docPr id="143" name="image139.png"/>
            <wp:cNvGraphicFramePr/>
            <a:graphic xmlns:a="http://schemas.openxmlformats.org/drawingml/2006/main">
              <a:graphicData uri="http://schemas.openxmlformats.org/drawingml/2006/picture">
                <pic:pic xmlns:pic="http://schemas.openxmlformats.org/drawingml/2006/picture">
                  <pic:nvPicPr>
                    <pic:cNvPr id="0" name="image139.png"/>
                    <pic:cNvPicPr preferRelativeResize="0"/>
                  </pic:nvPicPr>
                  <pic:blipFill>
                    <a:blip r:embed="rId45"/>
                    <a:srcRect/>
                    <a:stretch>
                      <a:fillRect/>
                    </a:stretch>
                  </pic:blipFill>
                  <pic:spPr>
                    <a:xfrm>
                      <a:off x="0" y="0"/>
                      <a:ext cx="6821396" cy="2740388"/>
                    </a:xfrm>
                    <a:prstGeom prst="rect">
                      <a:avLst/>
                    </a:prstGeom>
                    <a:ln/>
                  </pic:spPr>
                </pic:pic>
              </a:graphicData>
            </a:graphic>
          </wp:inline>
        </w:drawing>
      </w:r>
    </w:p>
    <w:p w14:paraId="65BE7D09" w14:textId="77777777" w:rsidR="00817C1B" w:rsidRDefault="00817C1B">
      <w:pPr>
        <w:jc w:val="center"/>
        <w:rPr>
          <w:sz w:val="18"/>
          <w:szCs w:val="18"/>
        </w:rPr>
      </w:pPr>
    </w:p>
    <w:p w14:paraId="57CFB116" w14:textId="77777777" w:rsidR="00817C1B" w:rsidRDefault="00392EBA">
      <w:pPr>
        <w:jc w:val="center"/>
        <w:rPr>
          <w:sz w:val="18"/>
          <w:szCs w:val="18"/>
        </w:rPr>
      </w:pPr>
      <w:r>
        <w:rPr>
          <w:sz w:val="18"/>
          <w:szCs w:val="18"/>
        </w:rPr>
        <w:t xml:space="preserve">Table 2a: Performance indicators of </w:t>
      </w:r>
      <w:proofErr w:type="spellStart"/>
      <w:r>
        <w:rPr>
          <w:sz w:val="18"/>
          <w:szCs w:val="18"/>
        </w:rPr>
        <w:t>Buy</w:t>
      </w:r>
      <w:r>
        <w:rPr>
          <w:sz w:val="18"/>
          <w:szCs w:val="18"/>
        </w:rPr>
        <w:t>&amp;Hold</w:t>
      </w:r>
      <w:proofErr w:type="spellEnd"/>
      <w:r>
        <w:rPr>
          <w:sz w:val="18"/>
          <w:szCs w:val="18"/>
        </w:rPr>
        <w:t xml:space="preserve"> QQQ</w:t>
      </w:r>
    </w:p>
    <w:p w14:paraId="55C98BA2" w14:textId="77777777" w:rsidR="00817C1B" w:rsidRDefault="00392EBA">
      <w:pPr>
        <w:jc w:val="center"/>
        <w:rPr>
          <w:sz w:val="18"/>
          <w:szCs w:val="18"/>
        </w:rPr>
      </w:pPr>
      <w:r>
        <w:rPr>
          <w:noProof/>
          <w:sz w:val="18"/>
          <w:szCs w:val="18"/>
        </w:rPr>
        <w:drawing>
          <wp:inline distT="114300" distB="114300" distL="114300" distR="114300" wp14:anchorId="6C50D2F3" wp14:editId="73B9929C">
            <wp:extent cx="6858000" cy="2600325"/>
            <wp:effectExtent l="0" t="0" r="0" b="0"/>
            <wp:docPr id="12"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1"/>
                    <a:srcRect/>
                    <a:stretch>
                      <a:fillRect/>
                    </a:stretch>
                  </pic:blipFill>
                  <pic:spPr>
                    <a:xfrm>
                      <a:off x="0" y="0"/>
                      <a:ext cx="6858000" cy="2600325"/>
                    </a:xfrm>
                    <a:prstGeom prst="rect">
                      <a:avLst/>
                    </a:prstGeom>
                    <a:ln/>
                  </pic:spPr>
                </pic:pic>
              </a:graphicData>
            </a:graphic>
          </wp:inline>
        </w:drawing>
      </w:r>
    </w:p>
    <w:p w14:paraId="2FFE9C3F" w14:textId="77777777" w:rsidR="00817C1B" w:rsidRDefault="00817C1B">
      <w:pPr>
        <w:jc w:val="center"/>
        <w:rPr>
          <w:sz w:val="18"/>
          <w:szCs w:val="18"/>
        </w:rPr>
      </w:pPr>
    </w:p>
    <w:p w14:paraId="55BCE0EC" w14:textId="77777777" w:rsidR="00817C1B" w:rsidRDefault="00392EBA">
      <w:pPr>
        <w:jc w:val="center"/>
        <w:rPr>
          <w:sz w:val="18"/>
          <w:szCs w:val="18"/>
        </w:rPr>
      </w:pPr>
      <w:r>
        <w:rPr>
          <w:sz w:val="18"/>
          <w:szCs w:val="18"/>
        </w:rPr>
        <w:t>Table 2b: Performance indicators of QQQ Put Option Insurance Strategy - (long stock + long put option)</w:t>
      </w:r>
    </w:p>
    <w:p w14:paraId="4A0D94E0" w14:textId="77777777" w:rsidR="00817C1B" w:rsidRDefault="00392EBA">
      <w:pPr>
        <w:jc w:val="center"/>
        <w:rPr>
          <w:sz w:val="18"/>
          <w:szCs w:val="18"/>
        </w:rPr>
      </w:pPr>
      <w:r>
        <w:rPr>
          <w:noProof/>
          <w:sz w:val="18"/>
          <w:szCs w:val="18"/>
        </w:rPr>
        <w:drawing>
          <wp:inline distT="114300" distB="114300" distL="114300" distR="114300" wp14:anchorId="313A5EE3" wp14:editId="2756F9D1">
            <wp:extent cx="6978152" cy="2555512"/>
            <wp:effectExtent l="0" t="0" r="0" b="0"/>
            <wp:docPr id="64" name="image83.png"/>
            <wp:cNvGraphicFramePr/>
            <a:graphic xmlns:a="http://schemas.openxmlformats.org/drawingml/2006/main">
              <a:graphicData uri="http://schemas.openxmlformats.org/drawingml/2006/picture">
                <pic:pic xmlns:pic="http://schemas.openxmlformats.org/drawingml/2006/picture">
                  <pic:nvPicPr>
                    <pic:cNvPr id="0" name="image83.png"/>
                    <pic:cNvPicPr preferRelativeResize="0"/>
                  </pic:nvPicPr>
                  <pic:blipFill>
                    <a:blip r:embed="rId22"/>
                    <a:srcRect/>
                    <a:stretch>
                      <a:fillRect/>
                    </a:stretch>
                  </pic:blipFill>
                  <pic:spPr>
                    <a:xfrm>
                      <a:off x="0" y="0"/>
                      <a:ext cx="6978152" cy="2555512"/>
                    </a:xfrm>
                    <a:prstGeom prst="rect">
                      <a:avLst/>
                    </a:prstGeom>
                    <a:ln/>
                  </pic:spPr>
                </pic:pic>
              </a:graphicData>
            </a:graphic>
          </wp:inline>
        </w:drawing>
      </w:r>
      <w:r>
        <w:br w:type="page"/>
      </w:r>
    </w:p>
    <w:p w14:paraId="061538BC" w14:textId="77777777" w:rsidR="00817C1B" w:rsidRDefault="00392EBA">
      <w:pPr>
        <w:jc w:val="center"/>
        <w:rPr>
          <w:sz w:val="18"/>
          <w:szCs w:val="18"/>
        </w:rPr>
      </w:pPr>
      <w:r>
        <w:rPr>
          <w:sz w:val="18"/>
          <w:szCs w:val="18"/>
        </w:rPr>
        <w:lastRenderedPageBreak/>
        <w:t>Chart 14:  1-month percentage change of QQQ  vs. Profit of Combined Insurance Strategy and its sub-strategies</w:t>
      </w:r>
    </w:p>
    <w:p w14:paraId="772E323A" w14:textId="77777777" w:rsidR="00817C1B" w:rsidRDefault="00392EBA">
      <w:pPr>
        <w:jc w:val="center"/>
        <w:rPr>
          <w:sz w:val="18"/>
          <w:szCs w:val="18"/>
        </w:rPr>
      </w:pPr>
      <w:r>
        <w:rPr>
          <w:noProof/>
          <w:sz w:val="18"/>
          <w:szCs w:val="18"/>
        </w:rPr>
        <w:drawing>
          <wp:inline distT="114300" distB="114300" distL="114300" distR="114300" wp14:anchorId="4EBA881D" wp14:editId="65049B6C">
            <wp:extent cx="7052400" cy="4559300"/>
            <wp:effectExtent l="0" t="0" r="0" b="0"/>
            <wp:docPr id="17"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46"/>
                    <a:srcRect/>
                    <a:stretch>
                      <a:fillRect/>
                    </a:stretch>
                  </pic:blipFill>
                  <pic:spPr>
                    <a:xfrm>
                      <a:off x="0" y="0"/>
                      <a:ext cx="7052400" cy="4559300"/>
                    </a:xfrm>
                    <a:prstGeom prst="rect">
                      <a:avLst/>
                    </a:prstGeom>
                    <a:ln/>
                  </pic:spPr>
                </pic:pic>
              </a:graphicData>
            </a:graphic>
          </wp:inline>
        </w:drawing>
      </w:r>
      <w:r>
        <w:br w:type="page"/>
      </w:r>
    </w:p>
    <w:p w14:paraId="4249C22C" w14:textId="77777777" w:rsidR="00817C1B" w:rsidRDefault="00392EBA">
      <w:pPr>
        <w:pStyle w:val="Heading2"/>
        <w:rPr>
          <w:color w:val="4A86E8"/>
          <w:sz w:val="28"/>
          <w:szCs w:val="28"/>
        </w:rPr>
      </w:pPr>
      <w:bookmarkStart w:id="12" w:name="_gx8rd4m6m6js" w:colFirst="0" w:colLast="0"/>
      <w:bookmarkEnd w:id="12"/>
      <w:r>
        <w:rPr>
          <w:color w:val="4A86E8"/>
          <w:sz w:val="28"/>
          <w:szCs w:val="28"/>
        </w:rPr>
        <w:lastRenderedPageBreak/>
        <w:t>Performance Analysis usi</w:t>
      </w:r>
      <w:r>
        <w:rPr>
          <w:color w:val="4A86E8"/>
          <w:sz w:val="28"/>
          <w:szCs w:val="28"/>
        </w:rPr>
        <w:t>ng Monte-Carlo Simulations</w:t>
      </w:r>
    </w:p>
    <w:p w14:paraId="22AAE96E" w14:textId="77777777" w:rsidR="00817C1B" w:rsidRDefault="00817C1B"/>
    <w:p w14:paraId="11C9D377" w14:textId="77777777" w:rsidR="00817C1B" w:rsidRDefault="00392EBA">
      <w:pPr>
        <w:pStyle w:val="Heading3"/>
        <w:jc w:val="both"/>
        <w:rPr>
          <w:color w:val="741B47"/>
        </w:rPr>
      </w:pPr>
      <w:bookmarkStart w:id="13" w:name="_h1mbtkdlhqot" w:colFirst="0" w:colLast="0"/>
      <w:bookmarkEnd w:id="13"/>
      <w:r>
        <w:rPr>
          <w:color w:val="741B47"/>
        </w:rPr>
        <w:t>Methodology</w:t>
      </w:r>
    </w:p>
    <w:p w14:paraId="06C2400B" w14:textId="77777777" w:rsidR="00817C1B" w:rsidRDefault="00817C1B"/>
    <w:p w14:paraId="651FA83B" w14:textId="77777777" w:rsidR="00817C1B" w:rsidRDefault="00392EBA">
      <w:pPr>
        <w:jc w:val="both"/>
      </w:pPr>
      <w:r>
        <w:t xml:space="preserve">As it has been mentioned several times already in the study, </w:t>
      </w:r>
      <w:r>
        <w:rPr>
          <w:b/>
        </w:rPr>
        <w:t>the examined period (2011-2019) was mostly bullish, when the real positive effect of insurance is less perceptible.</w:t>
      </w:r>
      <w:r>
        <w:t xml:space="preserve"> In order to learn how the strategy wou</w:t>
      </w:r>
      <w:r>
        <w:t xml:space="preserve">ld behave in difficult times (i.e. in long bearish regimes), we ran </w:t>
      </w:r>
      <w:r>
        <w:rPr>
          <w:b/>
        </w:rPr>
        <w:t>Monte-Carlo simulation</w:t>
      </w:r>
      <w:r>
        <w:t xml:space="preserve">. </w:t>
      </w:r>
    </w:p>
    <w:p w14:paraId="0A85CF28" w14:textId="77777777" w:rsidR="00817C1B" w:rsidRDefault="00817C1B">
      <w:pPr>
        <w:jc w:val="both"/>
      </w:pPr>
    </w:p>
    <w:p w14:paraId="4A68DE57" w14:textId="77777777" w:rsidR="00817C1B" w:rsidRDefault="00392EBA">
      <w:pPr>
        <w:jc w:val="both"/>
      </w:pPr>
      <w:r>
        <w:t xml:space="preserve">During the simulation, </w:t>
      </w:r>
      <w:r>
        <w:rPr>
          <w:b/>
        </w:rPr>
        <w:t>the following daily closing prices were synthesized with the given parameters</w:t>
      </w:r>
      <w:r>
        <w:t>:</w:t>
      </w:r>
    </w:p>
    <w:p w14:paraId="34267AE9" w14:textId="77777777" w:rsidR="00817C1B" w:rsidRDefault="00392EBA">
      <w:pPr>
        <w:numPr>
          <w:ilvl w:val="0"/>
          <w:numId w:val="5"/>
        </w:numPr>
        <w:spacing w:before="120" w:line="273" w:lineRule="auto"/>
        <w:jc w:val="both"/>
        <w:rPr>
          <w:b/>
        </w:rPr>
      </w:pPr>
      <w:r>
        <w:rPr>
          <w:rFonts w:ascii="Arial Unicode MS" w:eastAsia="Arial Unicode MS" w:hAnsi="Arial Unicode MS" w:cs="Arial Unicode MS"/>
          <w:b/>
        </w:rPr>
        <w:t>QQQ stock (average daily return: +0.0609%, daily SD: 1.3227%</w:t>
      </w:r>
      <w:r>
        <w:rPr>
          <w:rFonts w:ascii="Arial Unicode MS" w:eastAsia="Arial Unicode MS" w:hAnsi="Arial Unicode MS" w:cs="Arial Unicode MS"/>
          <w:b/>
        </w:rPr>
        <w:t xml:space="preserve"> </w:t>
      </w:r>
      <w:r>
        <w:rPr>
          <w:rFonts w:ascii="Arial Unicode MS" w:eastAsia="Arial Unicode MS" w:hAnsi="Arial Unicode MS" w:cs="Arial Unicode MS"/>
          <w:b/>
        </w:rPr>
        <w:t>ー</w:t>
      </w:r>
      <w:r>
        <w:rPr>
          <w:rFonts w:ascii="Arial Unicode MS" w:eastAsia="Arial Unicode MS" w:hAnsi="Arial Unicode MS" w:cs="Arial Unicode MS"/>
          <w:b/>
        </w:rPr>
        <w:t xml:space="preserve"> based on data from 2002 to 2019);</w:t>
      </w:r>
    </w:p>
    <w:p w14:paraId="4346052D" w14:textId="77777777" w:rsidR="00817C1B" w:rsidRDefault="00392EBA">
      <w:pPr>
        <w:numPr>
          <w:ilvl w:val="0"/>
          <w:numId w:val="5"/>
        </w:numPr>
        <w:spacing w:before="120" w:line="273" w:lineRule="auto"/>
        <w:jc w:val="both"/>
        <w:rPr>
          <w:b/>
        </w:rPr>
      </w:pPr>
      <w:r>
        <w:rPr>
          <w:b/>
        </w:rPr>
        <w:t>QQQ option (using Black-Scholes-Merton equation, where IV was estimated with 1.2*HV20, which is an overestimated value for safety based on historical data);</w:t>
      </w:r>
    </w:p>
    <w:p w14:paraId="70416297" w14:textId="77777777" w:rsidR="00817C1B" w:rsidRDefault="00392EBA">
      <w:pPr>
        <w:numPr>
          <w:ilvl w:val="0"/>
          <w:numId w:val="5"/>
        </w:numPr>
        <w:spacing w:before="120" w:line="273" w:lineRule="auto"/>
        <w:jc w:val="both"/>
        <w:rPr>
          <w:b/>
        </w:rPr>
      </w:pPr>
      <w:r>
        <w:rPr>
          <w:rFonts w:ascii="Arial Unicode MS" w:eastAsia="Arial Unicode MS" w:hAnsi="Arial Unicode MS" w:cs="Arial Unicode MS"/>
          <w:b/>
        </w:rPr>
        <w:t>TLT stock (</w:t>
      </w:r>
      <w:proofErr w:type="spellStart"/>
      <w:r>
        <w:rPr>
          <w:rFonts w:ascii="Arial Unicode MS" w:eastAsia="Arial Unicode MS" w:hAnsi="Arial Unicode MS" w:cs="Arial Unicode MS"/>
          <w:b/>
        </w:rPr>
        <w:t>avg</w:t>
      </w:r>
      <w:proofErr w:type="spellEnd"/>
      <w:r>
        <w:rPr>
          <w:rFonts w:ascii="Arial Unicode MS" w:eastAsia="Arial Unicode MS" w:hAnsi="Arial Unicode MS" w:cs="Arial Unicode MS"/>
          <w:b/>
        </w:rPr>
        <w:t xml:space="preserve"> daily return: +0.03%, daily SD: 0.8388%, correl</w:t>
      </w:r>
      <w:r>
        <w:rPr>
          <w:rFonts w:ascii="Arial Unicode MS" w:eastAsia="Arial Unicode MS" w:hAnsi="Arial Unicode MS" w:cs="Arial Unicode MS"/>
          <w:b/>
        </w:rPr>
        <w:t xml:space="preserve">ation to QQQ: -0.369 </w:t>
      </w:r>
      <w:r>
        <w:rPr>
          <w:rFonts w:ascii="Arial Unicode MS" w:eastAsia="Arial Unicode MS" w:hAnsi="Arial Unicode MS" w:cs="Arial Unicode MS"/>
          <w:b/>
        </w:rPr>
        <w:t>ー</w:t>
      </w:r>
      <w:r>
        <w:rPr>
          <w:rFonts w:ascii="Arial Unicode MS" w:eastAsia="Arial Unicode MS" w:hAnsi="Arial Unicode MS" w:cs="Arial Unicode MS"/>
          <w:b/>
        </w:rPr>
        <w:t xml:space="preserve"> 2002-2019).</w:t>
      </w:r>
    </w:p>
    <w:p w14:paraId="1770337E" w14:textId="77777777" w:rsidR="00817C1B" w:rsidRDefault="00817C1B">
      <w:pPr>
        <w:jc w:val="both"/>
      </w:pPr>
    </w:p>
    <w:p w14:paraId="46742D55" w14:textId="77777777" w:rsidR="00817C1B" w:rsidRDefault="00392EBA">
      <w:pPr>
        <w:jc w:val="both"/>
      </w:pPr>
      <w:r>
        <w:rPr>
          <w:b/>
        </w:rPr>
        <w:t xml:space="preserve">30,000 synthesized 1 </w:t>
      </w:r>
      <w:proofErr w:type="spellStart"/>
      <w:r>
        <w:rPr>
          <w:b/>
        </w:rPr>
        <w:t>year long</w:t>
      </w:r>
      <w:proofErr w:type="spellEnd"/>
      <w:r>
        <w:rPr>
          <w:b/>
        </w:rPr>
        <w:t xml:space="preserve"> (252 trading day) daily return path were created for each stocks</w:t>
      </w:r>
      <w:r>
        <w:t xml:space="preserve">. Using these daily returns, the </w:t>
      </w:r>
      <w:r>
        <w:rPr>
          <w:b/>
        </w:rPr>
        <w:t xml:space="preserve">following strategies have been </w:t>
      </w:r>
      <w:proofErr w:type="spellStart"/>
      <w:r>
        <w:rPr>
          <w:b/>
        </w:rPr>
        <w:t>backtested</w:t>
      </w:r>
      <w:proofErr w:type="spellEnd"/>
      <w:r>
        <w:t xml:space="preserve"> with </w:t>
      </w:r>
      <w:r>
        <w:rPr>
          <w:b/>
        </w:rPr>
        <w:t>monthly rebalance</w:t>
      </w:r>
      <w:r>
        <w:t>:</w:t>
      </w:r>
    </w:p>
    <w:p w14:paraId="71FBF76F" w14:textId="77777777" w:rsidR="00817C1B" w:rsidRDefault="00392EBA">
      <w:pPr>
        <w:numPr>
          <w:ilvl w:val="0"/>
          <w:numId w:val="6"/>
        </w:numPr>
        <w:spacing w:before="120" w:line="273" w:lineRule="auto"/>
        <w:jc w:val="both"/>
      </w:pPr>
      <w:r>
        <w:rPr>
          <w:b/>
        </w:rPr>
        <w:t>Long QQQ without hedges</w:t>
      </w:r>
      <w:r>
        <w:t xml:space="preserve"> (i.e. pure </w:t>
      </w:r>
      <w:proofErr w:type="spellStart"/>
      <w:r>
        <w:t>buy&amp;hold</w:t>
      </w:r>
      <w:proofErr w:type="spellEnd"/>
      <w:r>
        <w:t xml:space="preserve"> QQQ) </w:t>
      </w:r>
      <w:r>
        <w:rPr>
          <w:rFonts w:ascii="Arial Unicode MS" w:eastAsia="Arial Unicode MS" w:hAnsi="Arial Unicode MS" w:cs="Arial Unicode MS"/>
        </w:rPr>
        <w:t>ー</w:t>
      </w:r>
      <w:r>
        <w:rPr>
          <w:rFonts w:ascii="Arial Unicode MS" w:eastAsia="Arial Unicode MS" w:hAnsi="Arial Unicode MS" w:cs="Arial Unicode MS"/>
        </w:rPr>
        <w:t xml:space="preserve"> 100% leverage </w:t>
      </w:r>
      <w:r>
        <w:rPr>
          <w:rFonts w:ascii="Arial Unicode MS" w:eastAsia="Arial Unicode MS" w:hAnsi="Arial Unicode MS" w:cs="Arial Unicode MS"/>
        </w:rPr>
        <w:t>ー</w:t>
      </w:r>
      <w:r>
        <w:rPr>
          <w:rFonts w:ascii="Arial Unicode MS" w:eastAsia="Arial Unicode MS" w:hAnsi="Arial Unicode MS" w:cs="Arial Unicode MS"/>
        </w:rPr>
        <w:t xml:space="preserve"> ‘Pure QQQ’ ;</w:t>
      </w:r>
    </w:p>
    <w:p w14:paraId="6A504A31" w14:textId="77777777" w:rsidR="00817C1B" w:rsidRDefault="00392EBA">
      <w:pPr>
        <w:numPr>
          <w:ilvl w:val="0"/>
          <w:numId w:val="6"/>
        </w:numPr>
        <w:spacing w:before="120" w:line="273" w:lineRule="auto"/>
        <w:jc w:val="both"/>
      </w:pPr>
      <w:r>
        <w:rPr>
          <w:b/>
        </w:rPr>
        <w:t>Long QQQ + 100% Put Option</w:t>
      </w:r>
      <w:r>
        <w:rPr>
          <w:rFonts w:ascii="Arial Unicode MS" w:eastAsia="Arial Unicode MS" w:hAnsi="Arial Unicode MS" w:cs="Arial Unicode MS"/>
        </w:rPr>
        <w:t xml:space="preserve"> (aka ‘QQQ Put Option Insurance Strategy’) </w:t>
      </w:r>
      <w:r>
        <w:rPr>
          <w:rFonts w:ascii="Arial Unicode MS" w:eastAsia="Arial Unicode MS" w:hAnsi="Arial Unicode MS" w:cs="Arial Unicode MS"/>
        </w:rPr>
        <w:t>ー</w:t>
      </w:r>
      <w:r>
        <w:rPr>
          <w:rFonts w:ascii="Arial Unicode MS" w:eastAsia="Arial Unicode MS" w:hAnsi="Arial Unicode MS" w:cs="Arial Unicode MS"/>
        </w:rPr>
        <w:t xml:space="preserve"> ~102% leverage on average </w:t>
      </w:r>
      <w:r>
        <w:rPr>
          <w:rFonts w:ascii="Arial Unicode MS" w:eastAsia="Arial Unicode MS" w:hAnsi="Arial Unicode MS" w:cs="Arial Unicode MS"/>
        </w:rPr>
        <w:t>ー</w:t>
      </w:r>
      <w:r>
        <w:rPr>
          <w:rFonts w:ascii="Arial Unicode MS" w:eastAsia="Arial Unicode MS" w:hAnsi="Arial Unicode MS" w:cs="Arial Unicode MS"/>
        </w:rPr>
        <w:t xml:space="preserve"> ‘Put hedge’;</w:t>
      </w:r>
    </w:p>
    <w:p w14:paraId="253B3728" w14:textId="77777777" w:rsidR="00817C1B" w:rsidRDefault="00392EBA">
      <w:pPr>
        <w:numPr>
          <w:ilvl w:val="0"/>
          <w:numId w:val="6"/>
        </w:numPr>
        <w:spacing w:before="120" w:line="273" w:lineRule="auto"/>
        <w:jc w:val="both"/>
      </w:pPr>
      <w:r>
        <w:rPr>
          <w:b/>
        </w:rPr>
        <w:t xml:space="preserve">Long QQQ + 60% Long TLT </w:t>
      </w:r>
      <w:r>
        <w:rPr>
          <w:rFonts w:ascii="Arial Unicode MS" w:eastAsia="Arial Unicode MS" w:hAnsi="Arial Unicode MS" w:cs="Arial Unicode MS"/>
        </w:rPr>
        <w:t xml:space="preserve">(60% hedge is used based on above results) </w:t>
      </w:r>
      <w:r>
        <w:rPr>
          <w:rFonts w:ascii="Arial Unicode MS" w:eastAsia="Arial Unicode MS" w:hAnsi="Arial Unicode MS" w:cs="Arial Unicode MS"/>
        </w:rPr>
        <w:t>ー</w:t>
      </w:r>
      <w:r>
        <w:rPr>
          <w:rFonts w:ascii="Arial Unicode MS" w:eastAsia="Arial Unicode MS" w:hAnsi="Arial Unicode MS" w:cs="Arial Unicode MS"/>
        </w:rPr>
        <w:t xml:space="preserve"> 160% leverage on average </w:t>
      </w:r>
      <w:r>
        <w:rPr>
          <w:rFonts w:ascii="Arial Unicode MS" w:eastAsia="Arial Unicode MS" w:hAnsi="Arial Unicode MS" w:cs="Arial Unicode MS"/>
        </w:rPr>
        <w:t>ー</w:t>
      </w:r>
      <w:r>
        <w:rPr>
          <w:rFonts w:ascii="Arial Unicode MS" w:eastAsia="Arial Unicode MS" w:hAnsi="Arial Unicode MS" w:cs="Arial Unicode MS"/>
        </w:rPr>
        <w:t xml:space="preserve"> ‘Bond hedge’</w:t>
      </w:r>
      <w:r>
        <w:t>;</w:t>
      </w:r>
    </w:p>
    <w:p w14:paraId="6BBFCEF2" w14:textId="77777777" w:rsidR="00817C1B" w:rsidRDefault="00392EBA">
      <w:pPr>
        <w:numPr>
          <w:ilvl w:val="0"/>
          <w:numId w:val="6"/>
        </w:numPr>
        <w:spacing w:before="120" w:line="273" w:lineRule="auto"/>
        <w:jc w:val="both"/>
      </w:pPr>
      <w:r>
        <w:rPr>
          <w:b/>
        </w:rPr>
        <w:t>Long QQQ + 50% Put Option + 30% Long TLT</w:t>
      </w:r>
      <w:r>
        <w:rPr>
          <w:rFonts w:ascii="Arial Unicode MS" w:eastAsia="Arial Unicode MS" w:hAnsi="Arial Unicode MS" w:cs="Arial Unicode MS"/>
        </w:rPr>
        <w:t xml:space="preserve"> (that is, the newly introduced ‘Combined QQQ Insurance Strategy’) </w:t>
      </w:r>
      <w:r>
        <w:rPr>
          <w:rFonts w:ascii="Arial Unicode MS" w:eastAsia="Arial Unicode MS" w:hAnsi="Arial Unicode MS" w:cs="Arial Unicode MS"/>
        </w:rPr>
        <w:t>ー</w:t>
      </w:r>
      <w:r>
        <w:rPr>
          <w:rFonts w:ascii="Arial Unicode MS" w:eastAsia="Arial Unicode MS" w:hAnsi="Arial Unicode MS" w:cs="Arial Unicode MS"/>
        </w:rPr>
        <w:t xml:space="preserve"> ~131% leverage on average </w:t>
      </w:r>
      <w:r>
        <w:rPr>
          <w:rFonts w:ascii="Arial Unicode MS" w:eastAsia="Arial Unicode MS" w:hAnsi="Arial Unicode MS" w:cs="Arial Unicode MS"/>
        </w:rPr>
        <w:t>ー</w:t>
      </w:r>
      <w:r>
        <w:rPr>
          <w:rFonts w:ascii="Arial Unicode MS" w:eastAsia="Arial Unicode MS" w:hAnsi="Arial Unicode MS" w:cs="Arial Unicode MS"/>
        </w:rPr>
        <w:t xml:space="preserve"> ‘Combined’.</w:t>
      </w:r>
    </w:p>
    <w:p w14:paraId="38731CD1" w14:textId="77777777" w:rsidR="00817C1B" w:rsidRDefault="00817C1B">
      <w:pPr>
        <w:spacing w:before="120" w:line="273" w:lineRule="auto"/>
        <w:jc w:val="both"/>
      </w:pPr>
    </w:p>
    <w:p w14:paraId="33253DFE" w14:textId="77777777" w:rsidR="00817C1B" w:rsidRDefault="00392EBA">
      <w:pPr>
        <w:pStyle w:val="Heading3"/>
        <w:jc w:val="center"/>
      </w:pPr>
      <w:bookmarkStart w:id="14" w:name="_5x8p4zf2dnwu" w:colFirst="0" w:colLast="0"/>
      <w:bookmarkEnd w:id="14"/>
      <w:r>
        <w:rPr>
          <w:noProof/>
        </w:rPr>
        <w:drawing>
          <wp:inline distT="114300" distB="114300" distL="114300" distR="114300" wp14:anchorId="7CCB64BC" wp14:editId="21E46CB8">
            <wp:extent cx="4576763" cy="2746058"/>
            <wp:effectExtent l="0" t="0" r="0" b="0"/>
            <wp:docPr id="135" name="image145.png"/>
            <wp:cNvGraphicFramePr/>
            <a:graphic xmlns:a="http://schemas.openxmlformats.org/drawingml/2006/main">
              <a:graphicData uri="http://schemas.openxmlformats.org/drawingml/2006/picture">
                <pic:pic xmlns:pic="http://schemas.openxmlformats.org/drawingml/2006/picture">
                  <pic:nvPicPr>
                    <pic:cNvPr id="0" name="image145.png"/>
                    <pic:cNvPicPr preferRelativeResize="0"/>
                  </pic:nvPicPr>
                  <pic:blipFill>
                    <a:blip r:embed="rId47"/>
                    <a:srcRect/>
                    <a:stretch>
                      <a:fillRect/>
                    </a:stretch>
                  </pic:blipFill>
                  <pic:spPr>
                    <a:xfrm>
                      <a:off x="0" y="0"/>
                      <a:ext cx="4576763" cy="2746058"/>
                    </a:xfrm>
                    <a:prstGeom prst="rect">
                      <a:avLst/>
                    </a:prstGeom>
                    <a:ln/>
                  </pic:spPr>
                </pic:pic>
              </a:graphicData>
            </a:graphic>
          </wp:inline>
        </w:drawing>
      </w:r>
    </w:p>
    <w:p w14:paraId="36C7F85D" w14:textId="77777777" w:rsidR="00817C1B" w:rsidRDefault="00392EBA">
      <w:pPr>
        <w:pStyle w:val="Heading3"/>
        <w:rPr>
          <w:color w:val="741B47"/>
        </w:rPr>
      </w:pPr>
      <w:bookmarkStart w:id="15" w:name="_np54v1di1mrf" w:colFirst="0" w:colLast="0"/>
      <w:bookmarkEnd w:id="15"/>
      <w:r>
        <w:br w:type="page"/>
      </w:r>
      <w:r>
        <w:rPr>
          <w:color w:val="741B47"/>
        </w:rPr>
        <w:lastRenderedPageBreak/>
        <w:t>Results</w:t>
      </w:r>
    </w:p>
    <w:p w14:paraId="308FDF61" w14:textId="77777777" w:rsidR="00817C1B" w:rsidRDefault="00817C1B"/>
    <w:p w14:paraId="1A794CAE" w14:textId="77777777" w:rsidR="00817C1B" w:rsidRDefault="00392EBA">
      <w:pPr>
        <w:jc w:val="both"/>
        <w:rPr>
          <w:rFonts w:ascii="Trebuchet MS" w:eastAsia="Trebuchet MS" w:hAnsi="Trebuchet MS" w:cs="Trebuchet MS"/>
          <w:b/>
          <w:color w:val="38761D"/>
          <w:sz w:val="24"/>
          <w:szCs w:val="24"/>
        </w:rPr>
      </w:pPr>
      <w:r>
        <w:rPr>
          <w:rFonts w:ascii="Trebuchet MS" w:eastAsia="Trebuchet MS" w:hAnsi="Trebuchet MS" w:cs="Trebuchet MS"/>
          <w:b/>
          <w:color w:val="38761D"/>
          <w:sz w:val="24"/>
          <w:szCs w:val="24"/>
        </w:rPr>
        <w:t>All Case</w:t>
      </w:r>
      <w:r>
        <w:rPr>
          <w:rFonts w:ascii="Trebuchet MS" w:eastAsia="Trebuchet MS" w:hAnsi="Trebuchet MS" w:cs="Trebuchet MS"/>
          <w:b/>
          <w:color w:val="38761D"/>
          <w:sz w:val="24"/>
          <w:szCs w:val="24"/>
        </w:rPr>
        <w:t>s</w:t>
      </w:r>
    </w:p>
    <w:p w14:paraId="3A7F6AC8" w14:textId="77777777" w:rsidR="00817C1B" w:rsidRDefault="00817C1B"/>
    <w:p w14:paraId="45303DA4" w14:textId="77777777" w:rsidR="00817C1B" w:rsidRDefault="00392EBA">
      <w:pPr>
        <w:jc w:val="both"/>
      </w:pPr>
      <w:r>
        <w:t xml:space="preserve">At first, let us look at </w:t>
      </w:r>
      <w:r>
        <w:rPr>
          <w:b/>
        </w:rPr>
        <w:t>the results of all the 30,000 simulations in one</w:t>
      </w:r>
      <w:r>
        <w:t>. Chart 15a-d show the density of CAGRs, Sharpe ratios, MAR ratios</w:t>
      </w:r>
      <w:r>
        <w:rPr>
          <w:vertAlign w:val="superscript"/>
        </w:rPr>
        <w:footnoteReference w:id="5"/>
      </w:r>
      <w:r>
        <w:t xml:space="preserve"> and maximum drawdowns (</w:t>
      </w:r>
      <w:hyperlink r:id="rId48">
        <w:r>
          <w:rPr>
            <w:color w:val="1155CC"/>
            <w:u w:val="single"/>
          </w:rPr>
          <w:t xml:space="preserve">using kernel </w:t>
        </w:r>
        <w:r>
          <w:rPr>
            <w:color w:val="1155CC"/>
            <w:u w:val="single"/>
          </w:rPr>
          <w:t>density estimation</w:t>
        </w:r>
      </w:hyperlink>
      <w:r>
        <w:t>). In addition, Table 7 contains performance indicators of the examined strategies.</w:t>
      </w:r>
    </w:p>
    <w:p w14:paraId="66B9A540" w14:textId="77777777" w:rsidR="00817C1B" w:rsidRDefault="00817C1B">
      <w:pPr>
        <w:jc w:val="both"/>
      </w:pPr>
    </w:p>
    <w:p w14:paraId="7B057EEF" w14:textId="77777777" w:rsidR="00817C1B" w:rsidRDefault="00392EBA">
      <w:pPr>
        <w:jc w:val="both"/>
      </w:pPr>
      <w:r>
        <w:t>Based on these charts and table,</w:t>
      </w:r>
      <w:r>
        <w:rPr>
          <w:b/>
        </w:rPr>
        <w:t xml:space="preserve"> It can be concluded that using all of the simulated cases</w:t>
      </w:r>
      <w:r>
        <w:t xml:space="preserve">: </w:t>
      </w:r>
    </w:p>
    <w:p w14:paraId="1CE38C3D" w14:textId="77777777" w:rsidR="00817C1B" w:rsidRDefault="00392EBA">
      <w:pPr>
        <w:numPr>
          <w:ilvl w:val="0"/>
          <w:numId w:val="1"/>
        </w:numPr>
        <w:spacing w:before="120" w:line="273" w:lineRule="auto"/>
        <w:jc w:val="both"/>
        <w:rPr>
          <w:b/>
        </w:rPr>
      </w:pPr>
      <w:r>
        <w:rPr>
          <w:rFonts w:ascii="Arial Unicode MS" w:eastAsia="Arial Unicode MS" w:hAnsi="Arial Unicode MS" w:cs="Arial Unicode MS"/>
          <w:b/>
        </w:rPr>
        <w:t>the ‘Bond hedge’ strategy has the highest CAGR, Sharpe ratio</w:t>
      </w:r>
      <w:r>
        <w:rPr>
          <w:rFonts w:ascii="Arial Unicode MS" w:eastAsia="Arial Unicode MS" w:hAnsi="Arial Unicode MS" w:cs="Arial Unicode MS"/>
          <w:b/>
        </w:rPr>
        <w:t xml:space="preserve"> and MAR ratio on average </w:t>
      </w:r>
      <w:r>
        <w:rPr>
          <w:rFonts w:ascii="Arial Unicode MS" w:eastAsia="Arial Unicode MS" w:hAnsi="Arial Unicode MS" w:cs="Arial Unicode MS"/>
          <w:b/>
        </w:rPr>
        <w:t>ー</w:t>
      </w:r>
      <w:r>
        <w:rPr>
          <w:rFonts w:ascii="Arial Unicode MS" w:eastAsia="Arial Unicode MS" w:hAnsi="Arial Unicode MS" w:cs="Arial Unicode MS"/>
          <w:b/>
        </w:rPr>
        <w:t xml:space="preserve"> but has 160% leverage and its MDD is not significantly better than in case of ‘Pure QQQ’ (and significantly worse than in case of ‘Put hedge’ and ‘Combined’ strategies);</w:t>
      </w:r>
    </w:p>
    <w:p w14:paraId="6087CBE9" w14:textId="77777777" w:rsidR="00817C1B" w:rsidRDefault="00392EBA">
      <w:pPr>
        <w:numPr>
          <w:ilvl w:val="0"/>
          <w:numId w:val="1"/>
        </w:numPr>
        <w:spacing w:before="120" w:line="273" w:lineRule="auto"/>
        <w:jc w:val="both"/>
        <w:rPr>
          <w:b/>
        </w:rPr>
      </w:pPr>
      <w:r>
        <w:rPr>
          <w:b/>
        </w:rPr>
        <w:t xml:space="preserve">the ‘Put hedge’ strategy has the worst CAGR, Sharpe ratio </w:t>
      </w:r>
      <w:r>
        <w:rPr>
          <w:b/>
        </w:rPr>
        <w:t>and MAR ratio, while its maximum drawdown is not significantly better than in case of ‘Combined’ strategy;</w:t>
      </w:r>
    </w:p>
    <w:p w14:paraId="54A69BFC" w14:textId="77777777" w:rsidR="00817C1B" w:rsidRDefault="00392EBA">
      <w:pPr>
        <w:numPr>
          <w:ilvl w:val="0"/>
          <w:numId w:val="1"/>
        </w:numPr>
        <w:spacing w:before="120" w:line="273" w:lineRule="auto"/>
        <w:jc w:val="both"/>
        <w:rPr>
          <w:b/>
        </w:rPr>
      </w:pPr>
      <w:r>
        <w:rPr>
          <w:b/>
        </w:rPr>
        <w:t>both ‘Bond hedge’ and ‘Combined’ strategies seem better than the ‘Pure QQQ’ strategy in every way;</w:t>
      </w:r>
    </w:p>
    <w:p w14:paraId="16BAF36F" w14:textId="77777777" w:rsidR="00817C1B" w:rsidRDefault="00392EBA">
      <w:pPr>
        <w:numPr>
          <w:ilvl w:val="0"/>
          <w:numId w:val="1"/>
        </w:numPr>
        <w:spacing w:before="120" w:line="273" w:lineRule="auto"/>
        <w:jc w:val="both"/>
        <w:rPr>
          <w:b/>
        </w:rPr>
      </w:pPr>
      <w:r>
        <w:rPr>
          <w:b/>
        </w:rPr>
        <w:t>it is hard to decide between ‘Bond hedge’ and ‘Com</w:t>
      </w:r>
      <w:r>
        <w:rPr>
          <w:b/>
        </w:rPr>
        <w:t xml:space="preserve">bined’ strategies. </w:t>
      </w:r>
    </w:p>
    <w:p w14:paraId="1D19977C" w14:textId="77777777" w:rsidR="00817C1B" w:rsidRDefault="00817C1B">
      <w:pPr>
        <w:jc w:val="both"/>
      </w:pPr>
    </w:p>
    <w:p w14:paraId="79D51F53" w14:textId="77777777" w:rsidR="00817C1B" w:rsidRDefault="00392EBA">
      <w:pPr>
        <w:jc w:val="both"/>
      </w:pPr>
      <w:r>
        <w:t>However, it would be interesting to see</w:t>
      </w:r>
      <w:r>
        <w:rPr>
          <w:b/>
        </w:rPr>
        <w:t xml:space="preserve"> how the strategies would perform in different regimes</w:t>
      </w:r>
      <w:r>
        <w:t xml:space="preserve">. What is </w:t>
      </w:r>
      <w:r>
        <w:rPr>
          <w:b/>
        </w:rPr>
        <w:t>the</w:t>
      </w:r>
      <w:r>
        <w:t xml:space="preserve"> </w:t>
      </w:r>
      <w:r>
        <w:rPr>
          <w:b/>
        </w:rPr>
        <w:t>cost of the insurance when we are in a bullish regime</w:t>
      </w:r>
      <w:r>
        <w:t xml:space="preserve">? Or </w:t>
      </w:r>
      <w:r>
        <w:rPr>
          <w:b/>
        </w:rPr>
        <w:t>how much loss can we avoid using insurance in really bad times</w:t>
      </w:r>
      <w:r>
        <w:t>?</w:t>
      </w:r>
    </w:p>
    <w:p w14:paraId="001FA499" w14:textId="77777777" w:rsidR="00817C1B" w:rsidRDefault="00817C1B">
      <w:pPr>
        <w:jc w:val="both"/>
      </w:pPr>
    </w:p>
    <w:p w14:paraId="58FA355B" w14:textId="77777777" w:rsidR="00817C1B" w:rsidRDefault="00392EBA">
      <w:pPr>
        <w:jc w:val="both"/>
      </w:pPr>
      <w:r>
        <w:t>In th</w:t>
      </w:r>
      <w:r>
        <w:t xml:space="preserve">e following subsections, the </w:t>
      </w:r>
      <w:r>
        <w:rPr>
          <w:b/>
        </w:rPr>
        <w:t xml:space="preserve">30,000 simulations are split into 9 groups based on the CAGRs </w:t>
      </w:r>
      <w:r>
        <w:t xml:space="preserve">(with almost the same number of elements). In addition, these groups are split into </w:t>
      </w:r>
      <w:r>
        <w:rPr>
          <w:b/>
        </w:rPr>
        <w:t>7-7 subgroups based on the maximum drawdowns</w:t>
      </w:r>
      <w:r>
        <w:t>. In those cases, where</w:t>
      </w:r>
      <w:r>
        <w:rPr>
          <w:b/>
        </w:rPr>
        <w:t xml:space="preserve"> there are not at least 100 simulated data</w:t>
      </w:r>
      <w:r>
        <w:t xml:space="preserve"> (e.g. CAGR is between -20% and -10%, while MDD is between 10% </w:t>
      </w:r>
      <w:r>
        <w:t xml:space="preserve">and 12.5%), the </w:t>
      </w:r>
      <w:r>
        <w:rPr>
          <w:b/>
        </w:rPr>
        <w:t>results are not shown</w:t>
      </w:r>
      <w:r>
        <w:t>.</w:t>
      </w:r>
    </w:p>
    <w:p w14:paraId="11DDD19C" w14:textId="77777777" w:rsidR="00817C1B" w:rsidRDefault="00392EBA">
      <w:pPr>
        <w:jc w:val="center"/>
        <w:rPr>
          <w:sz w:val="18"/>
          <w:szCs w:val="18"/>
        </w:rPr>
      </w:pPr>
      <w:r>
        <w:rPr>
          <w:sz w:val="18"/>
          <w:szCs w:val="18"/>
        </w:rPr>
        <w:t>Chart 15a:  Density of CAGRs - All simulations</w:t>
      </w:r>
    </w:p>
    <w:p w14:paraId="05BEFE9B" w14:textId="77777777" w:rsidR="00817C1B" w:rsidRDefault="00392EBA">
      <w:pPr>
        <w:jc w:val="center"/>
        <w:rPr>
          <w:sz w:val="18"/>
          <w:szCs w:val="18"/>
        </w:rPr>
      </w:pPr>
      <w:r>
        <w:rPr>
          <w:noProof/>
          <w:sz w:val="18"/>
          <w:szCs w:val="18"/>
        </w:rPr>
        <w:drawing>
          <wp:inline distT="114300" distB="114300" distL="114300" distR="114300" wp14:anchorId="532BA263" wp14:editId="4C019E1C">
            <wp:extent cx="7052400" cy="3086100"/>
            <wp:effectExtent l="0" t="0" r="0" b="0"/>
            <wp:docPr id="34" name="image31.jpg"/>
            <wp:cNvGraphicFramePr/>
            <a:graphic xmlns:a="http://schemas.openxmlformats.org/drawingml/2006/main">
              <a:graphicData uri="http://schemas.openxmlformats.org/drawingml/2006/picture">
                <pic:pic xmlns:pic="http://schemas.openxmlformats.org/drawingml/2006/picture">
                  <pic:nvPicPr>
                    <pic:cNvPr id="0" name="image31.jpg"/>
                    <pic:cNvPicPr preferRelativeResize="0"/>
                  </pic:nvPicPr>
                  <pic:blipFill>
                    <a:blip r:embed="rId49"/>
                    <a:srcRect/>
                    <a:stretch>
                      <a:fillRect/>
                    </a:stretch>
                  </pic:blipFill>
                  <pic:spPr>
                    <a:xfrm>
                      <a:off x="0" y="0"/>
                      <a:ext cx="7052400" cy="3086100"/>
                    </a:xfrm>
                    <a:prstGeom prst="rect">
                      <a:avLst/>
                    </a:prstGeom>
                    <a:ln/>
                  </pic:spPr>
                </pic:pic>
              </a:graphicData>
            </a:graphic>
          </wp:inline>
        </w:drawing>
      </w:r>
      <w:r>
        <w:br w:type="page"/>
      </w:r>
    </w:p>
    <w:p w14:paraId="0B3A24E1" w14:textId="77777777" w:rsidR="00817C1B" w:rsidRDefault="00392EBA">
      <w:pPr>
        <w:jc w:val="center"/>
        <w:rPr>
          <w:sz w:val="18"/>
          <w:szCs w:val="18"/>
        </w:rPr>
      </w:pPr>
      <w:r>
        <w:rPr>
          <w:sz w:val="18"/>
          <w:szCs w:val="18"/>
        </w:rPr>
        <w:lastRenderedPageBreak/>
        <w:t>Chart 15b:  Density of Sharpe Ratios - All simulations</w:t>
      </w:r>
    </w:p>
    <w:p w14:paraId="50A5716D" w14:textId="77777777" w:rsidR="00817C1B" w:rsidRDefault="00392EBA">
      <w:pPr>
        <w:jc w:val="center"/>
        <w:rPr>
          <w:sz w:val="18"/>
          <w:szCs w:val="18"/>
        </w:rPr>
      </w:pPr>
      <w:r>
        <w:rPr>
          <w:noProof/>
          <w:sz w:val="18"/>
          <w:szCs w:val="18"/>
        </w:rPr>
        <w:drawing>
          <wp:inline distT="114300" distB="114300" distL="114300" distR="114300" wp14:anchorId="751B7275" wp14:editId="3902EDFD">
            <wp:extent cx="7052400" cy="3086100"/>
            <wp:effectExtent l="0" t="0" r="0" b="0"/>
            <wp:docPr id="147" name="image140.jpg"/>
            <wp:cNvGraphicFramePr/>
            <a:graphic xmlns:a="http://schemas.openxmlformats.org/drawingml/2006/main">
              <a:graphicData uri="http://schemas.openxmlformats.org/drawingml/2006/picture">
                <pic:pic xmlns:pic="http://schemas.openxmlformats.org/drawingml/2006/picture">
                  <pic:nvPicPr>
                    <pic:cNvPr id="0" name="image140.jpg"/>
                    <pic:cNvPicPr preferRelativeResize="0"/>
                  </pic:nvPicPr>
                  <pic:blipFill>
                    <a:blip r:embed="rId50"/>
                    <a:srcRect/>
                    <a:stretch>
                      <a:fillRect/>
                    </a:stretch>
                  </pic:blipFill>
                  <pic:spPr>
                    <a:xfrm>
                      <a:off x="0" y="0"/>
                      <a:ext cx="7052400" cy="3086100"/>
                    </a:xfrm>
                    <a:prstGeom prst="rect">
                      <a:avLst/>
                    </a:prstGeom>
                    <a:ln/>
                  </pic:spPr>
                </pic:pic>
              </a:graphicData>
            </a:graphic>
          </wp:inline>
        </w:drawing>
      </w:r>
    </w:p>
    <w:p w14:paraId="75FD4A72" w14:textId="77777777" w:rsidR="00817C1B" w:rsidRDefault="00817C1B">
      <w:pPr>
        <w:jc w:val="center"/>
        <w:rPr>
          <w:sz w:val="18"/>
          <w:szCs w:val="18"/>
        </w:rPr>
      </w:pPr>
    </w:p>
    <w:p w14:paraId="111DEE2E" w14:textId="77777777" w:rsidR="00817C1B" w:rsidRDefault="00817C1B">
      <w:pPr>
        <w:jc w:val="center"/>
        <w:rPr>
          <w:sz w:val="18"/>
          <w:szCs w:val="18"/>
        </w:rPr>
      </w:pPr>
    </w:p>
    <w:p w14:paraId="44470A71" w14:textId="77777777" w:rsidR="00817C1B" w:rsidRDefault="00392EBA">
      <w:pPr>
        <w:jc w:val="center"/>
        <w:rPr>
          <w:sz w:val="18"/>
          <w:szCs w:val="18"/>
        </w:rPr>
      </w:pPr>
      <w:r>
        <w:rPr>
          <w:sz w:val="18"/>
          <w:szCs w:val="18"/>
        </w:rPr>
        <w:t>Chart 15c:  Density of MAR Ratios - All simulations</w:t>
      </w:r>
    </w:p>
    <w:p w14:paraId="74685F93" w14:textId="77777777" w:rsidR="00817C1B" w:rsidRDefault="00392EBA">
      <w:pPr>
        <w:jc w:val="center"/>
        <w:rPr>
          <w:sz w:val="18"/>
          <w:szCs w:val="18"/>
        </w:rPr>
      </w:pPr>
      <w:r>
        <w:rPr>
          <w:noProof/>
          <w:sz w:val="18"/>
          <w:szCs w:val="18"/>
        </w:rPr>
        <w:drawing>
          <wp:inline distT="114300" distB="114300" distL="114300" distR="114300" wp14:anchorId="4070C393" wp14:editId="410BAEE0">
            <wp:extent cx="7052400" cy="3479800"/>
            <wp:effectExtent l="0" t="0" r="0" b="0"/>
            <wp:docPr id="73" name="image61.jpg"/>
            <wp:cNvGraphicFramePr/>
            <a:graphic xmlns:a="http://schemas.openxmlformats.org/drawingml/2006/main">
              <a:graphicData uri="http://schemas.openxmlformats.org/drawingml/2006/picture">
                <pic:pic xmlns:pic="http://schemas.openxmlformats.org/drawingml/2006/picture">
                  <pic:nvPicPr>
                    <pic:cNvPr id="0" name="image61.jpg"/>
                    <pic:cNvPicPr preferRelativeResize="0"/>
                  </pic:nvPicPr>
                  <pic:blipFill>
                    <a:blip r:embed="rId51"/>
                    <a:srcRect/>
                    <a:stretch>
                      <a:fillRect/>
                    </a:stretch>
                  </pic:blipFill>
                  <pic:spPr>
                    <a:xfrm>
                      <a:off x="0" y="0"/>
                      <a:ext cx="7052400" cy="3479800"/>
                    </a:xfrm>
                    <a:prstGeom prst="rect">
                      <a:avLst/>
                    </a:prstGeom>
                    <a:ln/>
                  </pic:spPr>
                </pic:pic>
              </a:graphicData>
            </a:graphic>
          </wp:inline>
        </w:drawing>
      </w:r>
    </w:p>
    <w:p w14:paraId="63277207" w14:textId="77777777" w:rsidR="00817C1B" w:rsidRDefault="00392EBA">
      <w:pPr>
        <w:jc w:val="center"/>
        <w:rPr>
          <w:sz w:val="18"/>
          <w:szCs w:val="18"/>
        </w:rPr>
      </w:pPr>
      <w:r>
        <w:br w:type="page"/>
      </w:r>
    </w:p>
    <w:p w14:paraId="7B4E5879" w14:textId="77777777" w:rsidR="00817C1B" w:rsidRDefault="00392EBA">
      <w:pPr>
        <w:jc w:val="center"/>
        <w:rPr>
          <w:sz w:val="18"/>
          <w:szCs w:val="18"/>
        </w:rPr>
      </w:pPr>
      <w:r>
        <w:rPr>
          <w:sz w:val="18"/>
          <w:szCs w:val="18"/>
        </w:rPr>
        <w:lastRenderedPageBreak/>
        <w:t>Chart 15d:  Density of Maximum Drawdowns - All simulations</w:t>
      </w:r>
    </w:p>
    <w:p w14:paraId="07A5034F" w14:textId="77777777" w:rsidR="00817C1B" w:rsidRDefault="00392EBA">
      <w:pPr>
        <w:jc w:val="center"/>
        <w:rPr>
          <w:sz w:val="18"/>
          <w:szCs w:val="18"/>
        </w:rPr>
      </w:pPr>
      <w:r>
        <w:rPr>
          <w:noProof/>
          <w:sz w:val="18"/>
          <w:szCs w:val="18"/>
        </w:rPr>
        <w:drawing>
          <wp:inline distT="114300" distB="114300" distL="114300" distR="114300" wp14:anchorId="7840A45C" wp14:editId="62EE4738">
            <wp:extent cx="7052400" cy="3479800"/>
            <wp:effectExtent l="0" t="0" r="0" b="0"/>
            <wp:docPr id="63" name="image68.jpg"/>
            <wp:cNvGraphicFramePr/>
            <a:graphic xmlns:a="http://schemas.openxmlformats.org/drawingml/2006/main">
              <a:graphicData uri="http://schemas.openxmlformats.org/drawingml/2006/picture">
                <pic:pic xmlns:pic="http://schemas.openxmlformats.org/drawingml/2006/picture">
                  <pic:nvPicPr>
                    <pic:cNvPr id="0" name="image68.jpg"/>
                    <pic:cNvPicPr preferRelativeResize="0"/>
                  </pic:nvPicPr>
                  <pic:blipFill>
                    <a:blip r:embed="rId52"/>
                    <a:srcRect/>
                    <a:stretch>
                      <a:fillRect/>
                    </a:stretch>
                  </pic:blipFill>
                  <pic:spPr>
                    <a:xfrm>
                      <a:off x="0" y="0"/>
                      <a:ext cx="7052400" cy="3479800"/>
                    </a:xfrm>
                    <a:prstGeom prst="rect">
                      <a:avLst/>
                    </a:prstGeom>
                    <a:ln/>
                  </pic:spPr>
                </pic:pic>
              </a:graphicData>
            </a:graphic>
          </wp:inline>
        </w:drawing>
      </w:r>
    </w:p>
    <w:p w14:paraId="607CB029" w14:textId="77777777" w:rsidR="00817C1B" w:rsidRDefault="00817C1B">
      <w:pPr>
        <w:jc w:val="center"/>
        <w:rPr>
          <w:sz w:val="18"/>
          <w:szCs w:val="18"/>
        </w:rPr>
      </w:pPr>
    </w:p>
    <w:p w14:paraId="2A7EF328" w14:textId="77777777" w:rsidR="00817C1B" w:rsidRDefault="00817C1B">
      <w:pPr>
        <w:jc w:val="center"/>
        <w:rPr>
          <w:sz w:val="18"/>
          <w:szCs w:val="18"/>
        </w:rPr>
      </w:pPr>
    </w:p>
    <w:p w14:paraId="63430C56" w14:textId="77777777" w:rsidR="00817C1B" w:rsidRDefault="00392EBA">
      <w:pPr>
        <w:jc w:val="center"/>
        <w:rPr>
          <w:sz w:val="18"/>
          <w:szCs w:val="18"/>
        </w:rPr>
      </w:pPr>
      <w:r>
        <w:rPr>
          <w:sz w:val="18"/>
          <w:szCs w:val="18"/>
        </w:rPr>
        <w:t>Table 7: Performance indicators of different strategies - all data</w:t>
      </w:r>
    </w:p>
    <w:p w14:paraId="1E3D3209" w14:textId="77777777" w:rsidR="00817C1B" w:rsidRDefault="00392EBA">
      <w:pPr>
        <w:jc w:val="center"/>
        <w:rPr>
          <w:sz w:val="18"/>
          <w:szCs w:val="18"/>
        </w:rPr>
      </w:pPr>
      <w:r>
        <w:rPr>
          <w:noProof/>
          <w:sz w:val="18"/>
          <w:szCs w:val="18"/>
        </w:rPr>
        <w:drawing>
          <wp:inline distT="114300" distB="114300" distL="114300" distR="114300" wp14:anchorId="6A2F1B77" wp14:editId="2C3D8231">
            <wp:extent cx="7052400" cy="1511300"/>
            <wp:effectExtent l="0" t="0" r="0" b="0"/>
            <wp:docPr id="79" name="image79.png"/>
            <wp:cNvGraphicFramePr/>
            <a:graphic xmlns:a="http://schemas.openxmlformats.org/drawingml/2006/main">
              <a:graphicData uri="http://schemas.openxmlformats.org/drawingml/2006/picture">
                <pic:pic xmlns:pic="http://schemas.openxmlformats.org/drawingml/2006/picture">
                  <pic:nvPicPr>
                    <pic:cNvPr id="0" name="image79.png"/>
                    <pic:cNvPicPr preferRelativeResize="0"/>
                  </pic:nvPicPr>
                  <pic:blipFill>
                    <a:blip r:embed="rId53"/>
                    <a:srcRect/>
                    <a:stretch>
                      <a:fillRect/>
                    </a:stretch>
                  </pic:blipFill>
                  <pic:spPr>
                    <a:xfrm>
                      <a:off x="0" y="0"/>
                      <a:ext cx="7052400" cy="1511300"/>
                    </a:xfrm>
                    <a:prstGeom prst="rect">
                      <a:avLst/>
                    </a:prstGeom>
                    <a:ln/>
                  </pic:spPr>
                </pic:pic>
              </a:graphicData>
            </a:graphic>
          </wp:inline>
        </w:drawing>
      </w:r>
    </w:p>
    <w:p w14:paraId="2CB5413D" w14:textId="77777777" w:rsidR="00817C1B" w:rsidRDefault="00392EBA">
      <w:pPr>
        <w:jc w:val="center"/>
        <w:rPr>
          <w:sz w:val="18"/>
          <w:szCs w:val="18"/>
        </w:rPr>
      </w:pPr>
      <w:r>
        <w:br w:type="page"/>
      </w:r>
    </w:p>
    <w:p w14:paraId="40947CF4" w14:textId="77777777" w:rsidR="00817C1B" w:rsidRDefault="00392EBA">
      <w:pPr>
        <w:jc w:val="both"/>
      </w:pPr>
      <w:r>
        <w:lastRenderedPageBreak/>
        <w:t xml:space="preserve">Table 8 contains </w:t>
      </w:r>
      <w:r>
        <w:rPr>
          <w:b/>
        </w:rPr>
        <w:t>yearly percentage changes (CAGR) and maximum drawdowns of QQQ</w:t>
      </w:r>
      <w:r>
        <w:t xml:space="preserve"> from 1999-03-10 to 2019-11-25. It can be se</w:t>
      </w:r>
      <w:r>
        <w:t xml:space="preserve">en that the </w:t>
      </w:r>
      <w:r>
        <w:rPr>
          <w:b/>
        </w:rPr>
        <w:t>figures vary on a very wide scale</w:t>
      </w:r>
      <w:r>
        <w:t>. Thus, it is worth examining all the following cases as possible realistic outcomes (based on the past 20 years of QQQ).</w:t>
      </w:r>
    </w:p>
    <w:p w14:paraId="1B8A7489" w14:textId="77777777" w:rsidR="00817C1B" w:rsidRDefault="00817C1B">
      <w:pPr>
        <w:jc w:val="both"/>
      </w:pPr>
    </w:p>
    <w:p w14:paraId="29A561B8" w14:textId="77777777" w:rsidR="00817C1B" w:rsidRDefault="00817C1B">
      <w:pPr>
        <w:jc w:val="both"/>
      </w:pPr>
    </w:p>
    <w:p w14:paraId="48A2A14A" w14:textId="77777777" w:rsidR="00817C1B" w:rsidRDefault="00392EBA">
      <w:pPr>
        <w:jc w:val="center"/>
        <w:rPr>
          <w:sz w:val="18"/>
          <w:szCs w:val="18"/>
        </w:rPr>
      </w:pPr>
      <w:r>
        <w:rPr>
          <w:sz w:val="18"/>
          <w:szCs w:val="18"/>
        </w:rPr>
        <w:t>Table 8: Yearly CAGR and MDD of QQQ - 1999-2019</w:t>
      </w:r>
    </w:p>
    <w:p w14:paraId="22127EBC" w14:textId="77777777" w:rsidR="00817C1B" w:rsidRDefault="00392EBA">
      <w:pPr>
        <w:jc w:val="center"/>
        <w:rPr>
          <w:sz w:val="18"/>
          <w:szCs w:val="18"/>
        </w:rPr>
      </w:pPr>
      <w:r>
        <w:rPr>
          <w:noProof/>
          <w:sz w:val="18"/>
          <w:szCs w:val="18"/>
        </w:rPr>
        <w:drawing>
          <wp:inline distT="114300" distB="114300" distL="114300" distR="114300" wp14:anchorId="4EB86319" wp14:editId="12BE92FF">
            <wp:extent cx="2038350" cy="4048125"/>
            <wp:effectExtent l="0" t="0" r="0" b="0"/>
            <wp:docPr id="129" name="image124.png"/>
            <wp:cNvGraphicFramePr/>
            <a:graphic xmlns:a="http://schemas.openxmlformats.org/drawingml/2006/main">
              <a:graphicData uri="http://schemas.openxmlformats.org/drawingml/2006/picture">
                <pic:pic xmlns:pic="http://schemas.openxmlformats.org/drawingml/2006/picture">
                  <pic:nvPicPr>
                    <pic:cNvPr id="0" name="image124.png"/>
                    <pic:cNvPicPr preferRelativeResize="0"/>
                  </pic:nvPicPr>
                  <pic:blipFill>
                    <a:blip r:embed="rId54"/>
                    <a:srcRect/>
                    <a:stretch>
                      <a:fillRect/>
                    </a:stretch>
                  </pic:blipFill>
                  <pic:spPr>
                    <a:xfrm>
                      <a:off x="0" y="0"/>
                      <a:ext cx="2038350" cy="4048125"/>
                    </a:xfrm>
                    <a:prstGeom prst="rect">
                      <a:avLst/>
                    </a:prstGeom>
                    <a:ln/>
                  </pic:spPr>
                </pic:pic>
              </a:graphicData>
            </a:graphic>
          </wp:inline>
        </w:drawing>
      </w:r>
      <w:r>
        <w:br w:type="page"/>
      </w:r>
    </w:p>
    <w:p w14:paraId="3A94A686" w14:textId="77777777" w:rsidR="00817C1B" w:rsidRDefault="00392EBA">
      <w:pPr>
        <w:jc w:val="both"/>
      </w:pPr>
      <w:r>
        <w:rPr>
          <w:rFonts w:ascii="Trebuchet MS" w:eastAsia="Trebuchet MS" w:hAnsi="Trebuchet MS" w:cs="Trebuchet MS"/>
          <w:b/>
          <w:color w:val="38761D"/>
          <w:sz w:val="24"/>
          <w:szCs w:val="24"/>
        </w:rPr>
        <w:lastRenderedPageBreak/>
        <w:t>QQQ Yearly Change: -55% - -20%</w:t>
      </w:r>
    </w:p>
    <w:p w14:paraId="73C52D4E" w14:textId="77777777" w:rsidR="00817C1B" w:rsidRDefault="00817C1B"/>
    <w:p w14:paraId="6E68063D" w14:textId="77777777" w:rsidR="00817C1B" w:rsidRDefault="00392EBA">
      <w:pPr>
        <w:jc w:val="both"/>
      </w:pPr>
      <w:r>
        <w:t xml:space="preserve">The </w:t>
      </w:r>
      <w:r>
        <w:t xml:space="preserve">first examined group is an </w:t>
      </w:r>
      <w:r>
        <w:rPr>
          <w:b/>
        </w:rPr>
        <w:t>extreme bearish case</w:t>
      </w:r>
      <w:r>
        <w:t xml:space="preserve">: the </w:t>
      </w:r>
      <w:r>
        <w:rPr>
          <w:b/>
        </w:rPr>
        <w:t>yearly percentage change of QQQ is between -55% and -20%</w:t>
      </w:r>
      <w:r>
        <w:t>. Although it really seems extreme</w:t>
      </w:r>
      <w:r>
        <w:rPr>
          <w:b/>
        </w:rPr>
        <w:t>, there were 4 such years from 1999: 2000, 2001, 2002 and 2008</w:t>
      </w:r>
      <w:r>
        <w:t xml:space="preserve"> (see Table 8 above). In other words, </w:t>
      </w:r>
      <w:r>
        <w:rPr>
          <w:b/>
        </w:rPr>
        <w:t>almost 20% of</w:t>
      </w:r>
      <w:r>
        <w:rPr>
          <w:b/>
        </w:rPr>
        <w:t xml:space="preserve"> years are belonged to this group in recent decades</w:t>
      </w:r>
      <w:r>
        <w:t xml:space="preserve">. </w:t>
      </w:r>
    </w:p>
    <w:p w14:paraId="27C44A92" w14:textId="77777777" w:rsidR="00817C1B" w:rsidRDefault="00817C1B">
      <w:pPr>
        <w:jc w:val="both"/>
      </w:pPr>
    </w:p>
    <w:p w14:paraId="306D98FC" w14:textId="77777777" w:rsidR="00817C1B" w:rsidRDefault="00392EBA">
      <w:pPr>
        <w:jc w:val="both"/>
      </w:pPr>
      <w:r>
        <w:t>Chart 16a-d show the density of CAGRs, Sharpe ratios, MAR ratios and maximum drawdowns of the four examined strategies, while Table 9a contains some performance indicators broken down by MDD (in this c</w:t>
      </w:r>
      <w:r>
        <w:t xml:space="preserve">ase, only one MDD subgroup has enough simulated data). It has to be emphasized again that </w:t>
      </w:r>
      <w:r>
        <w:rPr>
          <w:b/>
        </w:rPr>
        <w:t>comparing negative Sharpe- and MAR ratios is  meaningless, thus investors have to pay attention to CAGR and MDD charts</w:t>
      </w:r>
      <w:r>
        <w:t>.</w:t>
      </w:r>
    </w:p>
    <w:p w14:paraId="7792BC22" w14:textId="77777777" w:rsidR="00817C1B" w:rsidRDefault="00817C1B">
      <w:pPr>
        <w:jc w:val="both"/>
      </w:pPr>
    </w:p>
    <w:p w14:paraId="53485438" w14:textId="77777777" w:rsidR="00817C1B" w:rsidRDefault="00392EBA">
      <w:pPr>
        <w:jc w:val="both"/>
      </w:pPr>
      <w:r>
        <w:t xml:space="preserve">Chart 17a-d and Table 10a contain almost the </w:t>
      </w:r>
      <w:r>
        <w:t xml:space="preserve">same information, but not the pure CAGR, Sharpe ratio etc. figures but the </w:t>
      </w:r>
      <w:r>
        <w:rPr>
          <w:b/>
        </w:rPr>
        <w:t>differences compared to ‘Pure QQQ’</w:t>
      </w:r>
      <w:r>
        <w:t>. These differences</w:t>
      </w:r>
      <w:r>
        <w:rPr>
          <w:b/>
        </w:rPr>
        <w:t xml:space="preserve"> could give more accurate picture when comparing strategies</w:t>
      </w:r>
      <w:r>
        <w:t>.</w:t>
      </w:r>
    </w:p>
    <w:p w14:paraId="18D3C987" w14:textId="77777777" w:rsidR="00817C1B" w:rsidRDefault="00817C1B">
      <w:pPr>
        <w:jc w:val="both"/>
      </w:pPr>
    </w:p>
    <w:p w14:paraId="0FE70A13" w14:textId="77777777" w:rsidR="00817C1B" w:rsidRDefault="00392EBA">
      <w:pPr>
        <w:jc w:val="both"/>
        <w:rPr>
          <w:b/>
        </w:rPr>
      </w:pPr>
      <w:r>
        <w:t xml:space="preserve">As it was expected, </w:t>
      </w:r>
      <w:r>
        <w:rPr>
          <w:b/>
        </w:rPr>
        <w:t>‘Put hedge’ strategy has the best performance, it can almost perfectly hedge (with even positive profit) the huge loss of QQQ stock. However, the performance of the ‘Combined’ strategy is also remarkable. Nevertheless, the ‘Bond hedge’ strategy cannot help</w:t>
      </w:r>
      <w:r>
        <w:rPr>
          <w:b/>
        </w:rPr>
        <w:t xml:space="preserve"> us by much in these really hard times because </w:t>
      </w:r>
      <w:proofErr w:type="spellStart"/>
      <w:r>
        <w:rPr>
          <w:b/>
        </w:rPr>
        <w:t>its</w:t>
      </w:r>
      <w:proofErr w:type="spellEnd"/>
      <w:r>
        <w:rPr>
          <w:b/>
        </w:rPr>
        <w:t xml:space="preserve"> not perfect correlation.</w:t>
      </w:r>
    </w:p>
    <w:p w14:paraId="2D7A4010" w14:textId="77777777" w:rsidR="00817C1B" w:rsidRDefault="00817C1B">
      <w:pPr>
        <w:jc w:val="both"/>
      </w:pPr>
    </w:p>
    <w:p w14:paraId="45F87264" w14:textId="77777777" w:rsidR="00817C1B" w:rsidRDefault="00392EBA">
      <w:pPr>
        <w:jc w:val="both"/>
      </w:pPr>
      <w:r>
        <w:t xml:space="preserve">In this case (which is maybe the most important for a risk averse investor), our </w:t>
      </w:r>
      <w:r>
        <w:rPr>
          <w:b/>
        </w:rPr>
        <w:t>strategy rank</w:t>
      </w:r>
      <w:r>
        <w:t xml:space="preserve"> in this first case is the following: </w:t>
      </w:r>
      <w:r>
        <w:br/>
      </w:r>
      <w:r>
        <w:rPr>
          <w:b/>
        </w:rPr>
        <w:t>‘Put hedge’ &gt; ‘Combined’ &gt;&gt; ‘Bond hedge’ &gt;&gt;&gt; ‘Pure QQQ’</w:t>
      </w:r>
      <w:r>
        <w:t>.</w:t>
      </w:r>
    </w:p>
    <w:p w14:paraId="6749323A" w14:textId="77777777" w:rsidR="00817C1B" w:rsidRDefault="00817C1B">
      <w:pPr>
        <w:jc w:val="both"/>
      </w:pPr>
    </w:p>
    <w:p w14:paraId="7E18DB58" w14:textId="77777777" w:rsidR="00817C1B" w:rsidRDefault="00392EBA">
      <w:pPr>
        <w:jc w:val="center"/>
        <w:rPr>
          <w:sz w:val="18"/>
          <w:szCs w:val="18"/>
        </w:rPr>
      </w:pPr>
      <w:r>
        <w:rPr>
          <w:sz w:val="18"/>
          <w:szCs w:val="18"/>
        </w:rPr>
        <w:t>Chart 16a:  Density of CAGRs - QQQ Yearly Change: -55% - -20%</w:t>
      </w:r>
    </w:p>
    <w:p w14:paraId="1AA3BDFA" w14:textId="77777777" w:rsidR="00817C1B" w:rsidRDefault="00392EBA">
      <w:pPr>
        <w:jc w:val="center"/>
        <w:rPr>
          <w:sz w:val="18"/>
          <w:szCs w:val="18"/>
        </w:rPr>
      </w:pPr>
      <w:r>
        <w:rPr>
          <w:noProof/>
          <w:sz w:val="18"/>
          <w:szCs w:val="18"/>
        </w:rPr>
        <w:drawing>
          <wp:inline distT="114300" distB="114300" distL="114300" distR="114300" wp14:anchorId="3419FD1B" wp14:editId="640FBEB0">
            <wp:extent cx="7052400" cy="3670300"/>
            <wp:effectExtent l="0" t="0" r="0" b="0"/>
            <wp:docPr id="74" name="image82.jpg"/>
            <wp:cNvGraphicFramePr/>
            <a:graphic xmlns:a="http://schemas.openxmlformats.org/drawingml/2006/main">
              <a:graphicData uri="http://schemas.openxmlformats.org/drawingml/2006/picture">
                <pic:pic xmlns:pic="http://schemas.openxmlformats.org/drawingml/2006/picture">
                  <pic:nvPicPr>
                    <pic:cNvPr id="0" name="image82.jpg"/>
                    <pic:cNvPicPr preferRelativeResize="0"/>
                  </pic:nvPicPr>
                  <pic:blipFill>
                    <a:blip r:embed="rId55"/>
                    <a:srcRect/>
                    <a:stretch>
                      <a:fillRect/>
                    </a:stretch>
                  </pic:blipFill>
                  <pic:spPr>
                    <a:xfrm>
                      <a:off x="0" y="0"/>
                      <a:ext cx="7052400" cy="3670300"/>
                    </a:xfrm>
                    <a:prstGeom prst="rect">
                      <a:avLst/>
                    </a:prstGeom>
                    <a:ln/>
                  </pic:spPr>
                </pic:pic>
              </a:graphicData>
            </a:graphic>
          </wp:inline>
        </w:drawing>
      </w:r>
    </w:p>
    <w:p w14:paraId="16BBCECE" w14:textId="77777777" w:rsidR="00817C1B" w:rsidRDefault="00392EBA">
      <w:pPr>
        <w:jc w:val="center"/>
        <w:rPr>
          <w:sz w:val="18"/>
          <w:szCs w:val="18"/>
        </w:rPr>
      </w:pPr>
      <w:r>
        <w:br w:type="page"/>
      </w:r>
    </w:p>
    <w:p w14:paraId="3DF9640B" w14:textId="77777777" w:rsidR="00817C1B" w:rsidRDefault="00392EBA">
      <w:pPr>
        <w:jc w:val="center"/>
        <w:rPr>
          <w:sz w:val="18"/>
          <w:szCs w:val="18"/>
        </w:rPr>
      </w:pPr>
      <w:r>
        <w:rPr>
          <w:sz w:val="18"/>
          <w:szCs w:val="18"/>
        </w:rPr>
        <w:lastRenderedPageBreak/>
        <w:t>Chart 16b:  Density of Sharpe Ratios - QQQ Yearly Change: -55% - -20%</w:t>
      </w:r>
    </w:p>
    <w:p w14:paraId="237FBE1C" w14:textId="77777777" w:rsidR="00817C1B" w:rsidRDefault="00392EBA">
      <w:pPr>
        <w:jc w:val="center"/>
        <w:rPr>
          <w:sz w:val="18"/>
          <w:szCs w:val="18"/>
        </w:rPr>
      </w:pPr>
      <w:r>
        <w:rPr>
          <w:noProof/>
          <w:sz w:val="18"/>
          <w:szCs w:val="18"/>
        </w:rPr>
        <w:drawing>
          <wp:inline distT="114300" distB="114300" distL="114300" distR="114300" wp14:anchorId="4B134386" wp14:editId="3D124080">
            <wp:extent cx="7052400" cy="3670300"/>
            <wp:effectExtent l="0" t="0" r="0" b="0"/>
            <wp:docPr id="66" name="image69.jpg"/>
            <wp:cNvGraphicFramePr/>
            <a:graphic xmlns:a="http://schemas.openxmlformats.org/drawingml/2006/main">
              <a:graphicData uri="http://schemas.openxmlformats.org/drawingml/2006/picture">
                <pic:pic xmlns:pic="http://schemas.openxmlformats.org/drawingml/2006/picture">
                  <pic:nvPicPr>
                    <pic:cNvPr id="0" name="image69.jpg"/>
                    <pic:cNvPicPr preferRelativeResize="0"/>
                  </pic:nvPicPr>
                  <pic:blipFill>
                    <a:blip r:embed="rId56"/>
                    <a:srcRect/>
                    <a:stretch>
                      <a:fillRect/>
                    </a:stretch>
                  </pic:blipFill>
                  <pic:spPr>
                    <a:xfrm>
                      <a:off x="0" y="0"/>
                      <a:ext cx="7052400" cy="3670300"/>
                    </a:xfrm>
                    <a:prstGeom prst="rect">
                      <a:avLst/>
                    </a:prstGeom>
                    <a:ln/>
                  </pic:spPr>
                </pic:pic>
              </a:graphicData>
            </a:graphic>
          </wp:inline>
        </w:drawing>
      </w:r>
    </w:p>
    <w:p w14:paraId="76ACEFEA" w14:textId="77777777" w:rsidR="00817C1B" w:rsidRDefault="00392EBA">
      <w:pPr>
        <w:jc w:val="center"/>
        <w:rPr>
          <w:sz w:val="18"/>
          <w:szCs w:val="18"/>
        </w:rPr>
      </w:pPr>
      <w:r>
        <w:rPr>
          <w:sz w:val="18"/>
          <w:szCs w:val="18"/>
        </w:rPr>
        <w:t xml:space="preserve">Chart 16c:  Density of MAR Ratios - QQQ Yearly Change: -55% </w:t>
      </w:r>
      <w:r>
        <w:rPr>
          <w:sz w:val="18"/>
          <w:szCs w:val="18"/>
        </w:rPr>
        <w:t>- -20%</w:t>
      </w:r>
    </w:p>
    <w:p w14:paraId="637CE99A" w14:textId="77777777" w:rsidR="00817C1B" w:rsidRDefault="00392EBA">
      <w:pPr>
        <w:jc w:val="center"/>
        <w:rPr>
          <w:sz w:val="18"/>
          <w:szCs w:val="18"/>
        </w:rPr>
      </w:pPr>
      <w:r>
        <w:rPr>
          <w:noProof/>
          <w:sz w:val="18"/>
          <w:szCs w:val="18"/>
        </w:rPr>
        <w:drawing>
          <wp:inline distT="114300" distB="114300" distL="114300" distR="114300" wp14:anchorId="004139A8" wp14:editId="614D9CA0">
            <wp:extent cx="7052400" cy="4051300"/>
            <wp:effectExtent l="0" t="0" r="0" b="0"/>
            <wp:docPr id="103" name="image146.jpg"/>
            <wp:cNvGraphicFramePr/>
            <a:graphic xmlns:a="http://schemas.openxmlformats.org/drawingml/2006/main">
              <a:graphicData uri="http://schemas.openxmlformats.org/drawingml/2006/picture">
                <pic:pic xmlns:pic="http://schemas.openxmlformats.org/drawingml/2006/picture">
                  <pic:nvPicPr>
                    <pic:cNvPr id="0" name="image146.jpg"/>
                    <pic:cNvPicPr preferRelativeResize="0"/>
                  </pic:nvPicPr>
                  <pic:blipFill>
                    <a:blip r:embed="rId57"/>
                    <a:srcRect/>
                    <a:stretch>
                      <a:fillRect/>
                    </a:stretch>
                  </pic:blipFill>
                  <pic:spPr>
                    <a:xfrm>
                      <a:off x="0" y="0"/>
                      <a:ext cx="7052400" cy="4051300"/>
                    </a:xfrm>
                    <a:prstGeom prst="rect">
                      <a:avLst/>
                    </a:prstGeom>
                    <a:ln/>
                  </pic:spPr>
                </pic:pic>
              </a:graphicData>
            </a:graphic>
          </wp:inline>
        </w:drawing>
      </w:r>
    </w:p>
    <w:p w14:paraId="4A1AB40D" w14:textId="77777777" w:rsidR="00817C1B" w:rsidRDefault="00392EBA">
      <w:pPr>
        <w:jc w:val="center"/>
        <w:rPr>
          <w:sz w:val="18"/>
          <w:szCs w:val="18"/>
        </w:rPr>
      </w:pPr>
      <w:r>
        <w:br w:type="page"/>
      </w:r>
    </w:p>
    <w:p w14:paraId="7D7A4144" w14:textId="77777777" w:rsidR="00817C1B" w:rsidRDefault="00392EBA">
      <w:pPr>
        <w:jc w:val="center"/>
        <w:rPr>
          <w:sz w:val="18"/>
          <w:szCs w:val="18"/>
        </w:rPr>
      </w:pPr>
      <w:r>
        <w:rPr>
          <w:sz w:val="18"/>
          <w:szCs w:val="18"/>
        </w:rPr>
        <w:lastRenderedPageBreak/>
        <w:t>Chart 16d:  Density of Maximum Drawdowns - QQQ Yearly Change: -55% - -20%</w:t>
      </w:r>
    </w:p>
    <w:p w14:paraId="5626D925" w14:textId="77777777" w:rsidR="00817C1B" w:rsidRDefault="00392EBA">
      <w:pPr>
        <w:jc w:val="center"/>
        <w:rPr>
          <w:sz w:val="18"/>
          <w:szCs w:val="18"/>
        </w:rPr>
      </w:pPr>
      <w:r>
        <w:rPr>
          <w:noProof/>
          <w:sz w:val="18"/>
          <w:szCs w:val="18"/>
        </w:rPr>
        <w:drawing>
          <wp:inline distT="114300" distB="114300" distL="114300" distR="114300" wp14:anchorId="797E819C" wp14:editId="053F43F3">
            <wp:extent cx="7052400" cy="3213100"/>
            <wp:effectExtent l="0" t="0" r="0" b="0"/>
            <wp:docPr id="77" name="image74.jpg"/>
            <wp:cNvGraphicFramePr/>
            <a:graphic xmlns:a="http://schemas.openxmlformats.org/drawingml/2006/main">
              <a:graphicData uri="http://schemas.openxmlformats.org/drawingml/2006/picture">
                <pic:pic xmlns:pic="http://schemas.openxmlformats.org/drawingml/2006/picture">
                  <pic:nvPicPr>
                    <pic:cNvPr id="0" name="image74.jpg"/>
                    <pic:cNvPicPr preferRelativeResize="0"/>
                  </pic:nvPicPr>
                  <pic:blipFill>
                    <a:blip r:embed="rId58"/>
                    <a:srcRect/>
                    <a:stretch>
                      <a:fillRect/>
                    </a:stretch>
                  </pic:blipFill>
                  <pic:spPr>
                    <a:xfrm>
                      <a:off x="0" y="0"/>
                      <a:ext cx="7052400" cy="3213100"/>
                    </a:xfrm>
                    <a:prstGeom prst="rect">
                      <a:avLst/>
                    </a:prstGeom>
                    <a:ln/>
                  </pic:spPr>
                </pic:pic>
              </a:graphicData>
            </a:graphic>
          </wp:inline>
        </w:drawing>
      </w:r>
    </w:p>
    <w:p w14:paraId="2B653BA1" w14:textId="77777777" w:rsidR="00817C1B" w:rsidRDefault="00817C1B">
      <w:pPr>
        <w:jc w:val="center"/>
        <w:rPr>
          <w:sz w:val="18"/>
          <w:szCs w:val="18"/>
        </w:rPr>
      </w:pPr>
    </w:p>
    <w:p w14:paraId="65AD6B80" w14:textId="77777777" w:rsidR="00817C1B" w:rsidRDefault="00392EBA">
      <w:pPr>
        <w:jc w:val="center"/>
        <w:rPr>
          <w:sz w:val="18"/>
          <w:szCs w:val="18"/>
        </w:rPr>
      </w:pPr>
      <w:r>
        <w:rPr>
          <w:rFonts w:ascii="Arial Unicode MS" w:eastAsia="Arial Unicode MS" w:hAnsi="Arial Unicode MS" w:cs="Arial Unicode MS"/>
          <w:sz w:val="18"/>
          <w:szCs w:val="18"/>
        </w:rPr>
        <w:t xml:space="preserve">Table 8a: Years when QQQ Yearly Change: -55% - -20% </w:t>
      </w:r>
      <w:r>
        <w:rPr>
          <w:rFonts w:ascii="Arial Unicode MS" w:eastAsia="Arial Unicode MS" w:hAnsi="Arial Unicode MS" w:cs="Arial Unicode MS"/>
          <w:sz w:val="18"/>
          <w:szCs w:val="18"/>
        </w:rPr>
        <w:t>ー</w:t>
      </w:r>
      <w:r>
        <w:rPr>
          <w:rFonts w:ascii="Arial Unicode MS" w:eastAsia="Arial Unicode MS" w:hAnsi="Arial Unicode MS" w:cs="Arial Unicode MS"/>
          <w:sz w:val="18"/>
          <w:szCs w:val="18"/>
        </w:rPr>
        <w:t xml:space="preserve"> 1999-2019</w:t>
      </w:r>
    </w:p>
    <w:p w14:paraId="4901E970" w14:textId="77777777" w:rsidR="00817C1B" w:rsidRDefault="00392EBA">
      <w:pPr>
        <w:jc w:val="center"/>
        <w:rPr>
          <w:sz w:val="18"/>
          <w:szCs w:val="18"/>
        </w:rPr>
      </w:pPr>
      <w:r>
        <w:rPr>
          <w:noProof/>
          <w:sz w:val="18"/>
          <w:szCs w:val="18"/>
        </w:rPr>
        <w:drawing>
          <wp:inline distT="114300" distB="114300" distL="114300" distR="114300" wp14:anchorId="671E6192" wp14:editId="139202E5">
            <wp:extent cx="1990725" cy="933450"/>
            <wp:effectExtent l="0" t="0" r="0" b="0"/>
            <wp:docPr id="54" name="image46.png"/>
            <wp:cNvGraphicFramePr/>
            <a:graphic xmlns:a="http://schemas.openxmlformats.org/drawingml/2006/main">
              <a:graphicData uri="http://schemas.openxmlformats.org/drawingml/2006/picture">
                <pic:pic xmlns:pic="http://schemas.openxmlformats.org/drawingml/2006/picture">
                  <pic:nvPicPr>
                    <pic:cNvPr id="0" name="image46.png"/>
                    <pic:cNvPicPr preferRelativeResize="0"/>
                  </pic:nvPicPr>
                  <pic:blipFill>
                    <a:blip r:embed="rId59"/>
                    <a:srcRect/>
                    <a:stretch>
                      <a:fillRect/>
                    </a:stretch>
                  </pic:blipFill>
                  <pic:spPr>
                    <a:xfrm>
                      <a:off x="0" y="0"/>
                      <a:ext cx="1990725" cy="933450"/>
                    </a:xfrm>
                    <a:prstGeom prst="rect">
                      <a:avLst/>
                    </a:prstGeom>
                    <a:ln/>
                  </pic:spPr>
                </pic:pic>
              </a:graphicData>
            </a:graphic>
          </wp:inline>
        </w:drawing>
      </w:r>
    </w:p>
    <w:p w14:paraId="696542A7" w14:textId="77777777" w:rsidR="00817C1B" w:rsidRDefault="00817C1B">
      <w:pPr>
        <w:jc w:val="center"/>
        <w:rPr>
          <w:sz w:val="18"/>
          <w:szCs w:val="18"/>
        </w:rPr>
      </w:pPr>
    </w:p>
    <w:p w14:paraId="6CBB001E" w14:textId="77777777" w:rsidR="00817C1B" w:rsidRDefault="00817C1B">
      <w:pPr>
        <w:jc w:val="center"/>
        <w:rPr>
          <w:sz w:val="18"/>
          <w:szCs w:val="18"/>
        </w:rPr>
      </w:pPr>
    </w:p>
    <w:p w14:paraId="5D007DFA" w14:textId="77777777" w:rsidR="00817C1B" w:rsidRDefault="00392EBA">
      <w:pPr>
        <w:jc w:val="center"/>
        <w:rPr>
          <w:sz w:val="18"/>
          <w:szCs w:val="18"/>
        </w:rPr>
      </w:pPr>
      <w:r>
        <w:rPr>
          <w:sz w:val="18"/>
          <w:szCs w:val="18"/>
        </w:rPr>
        <w:t>Table 9a: Performance indicators of different strategies - QQQ Yearly Change: -55% - -20%</w:t>
      </w:r>
    </w:p>
    <w:p w14:paraId="76EDBC0E" w14:textId="77777777" w:rsidR="00817C1B" w:rsidRDefault="00392EBA">
      <w:pPr>
        <w:jc w:val="center"/>
        <w:rPr>
          <w:sz w:val="18"/>
          <w:szCs w:val="18"/>
        </w:rPr>
      </w:pPr>
      <w:r>
        <w:rPr>
          <w:noProof/>
          <w:sz w:val="18"/>
          <w:szCs w:val="18"/>
        </w:rPr>
        <w:drawing>
          <wp:inline distT="114300" distB="114300" distL="114300" distR="114300" wp14:anchorId="6385D166" wp14:editId="1FBF1777">
            <wp:extent cx="7052400" cy="1206500"/>
            <wp:effectExtent l="0" t="0" r="0" b="0"/>
            <wp:docPr id="95" name="image89.png"/>
            <wp:cNvGraphicFramePr/>
            <a:graphic xmlns:a="http://schemas.openxmlformats.org/drawingml/2006/main">
              <a:graphicData uri="http://schemas.openxmlformats.org/drawingml/2006/picture">
                <pic:pic xmlns:pic="http://schemas.openxmlformats.org/drawingml/2006/picture">
                  <pic:nvPicPr>
                    <pic:cNvPr id="0" name="image89.png"/>
                    <pic:cNvPicPr preferRelativeResize="0"/>
                  </pic:nvPicPr>
                  <pic:blipFill>
                    <a:blip r:embed="rId60"/>
                    <a:srcRect/>
                    <a:stretch>
                      <a:fillRect/>
                    </a:stretch>
                  </pic:blipFill>
                  <pic:spPr>
                    <a:xfrm>
                      <a:off x="0" y="0"/>
                      <a:ext cx="7052400" cy="1206500"/>
                    </a:xfrm>
                    <a:prstGeom prst="rect">
                      <a:avLst/>
                    </a:prstGeom>
                    <a:ln/>
                  </pic:spPr>
                </pic:pic>
              </a:graphicData>
            </a:graphic>
          </wp:inline>
        </w:drawing>
      </w:r>
      <w:r>
        <w:br w:type="page"/>
      </w:r>
    </w:p>
    <w:p w14:paraId="195455EE" w14:textId="77777777" w:rsidR="00817C1B" w:rsidRDefault="00392EBA">
      <w:pPr>
        <w:jc w:val="center"/>
        <w:rPr>
          <w:sz w:val="18"/>
          <w:szCs w:val="18"/>
        </w:rPr>
      </w:pPr>
      <w:r>
        <w:rPr>
          <w:sz w:val="18"/>
          <w:szCs w:val="18"/>
        </w:rPr>
        <w:lastRenderedPageBreak/>
        <w:t>Chart 1</w:t>
      </w:r>
      <w:r>
        <w:rPr>
          <w:sz w:val="18"/>
          <w:szCs w:val="18"/>
        </w:rPr>
        <w:t>7a:  Density of Differences in CAGRs - Compared to B&amp;H QQQ w/o Hedges - QQQ Yearly Change: -55% - -20%</w:t>
      </w:r>
    </w:p>
    <w:p w14:paraId="53715437" w14:textId="77777777" w:rsidR="00817C1B" w:rsidRDefault="00392EBA">
      <w:pPr>
        <w:jc w:val="center"/>
        <w:rPr>
          <w:sz w:val="18"/>
          <w:szCs w:val="18"/>
        </w:rPr>
      </w:pPr>
      <w:r>
        <w:rPr>
          <w:noProof/>
          <w:sz w:val="18"/>
          <w:szCs w:val="18"/>
        </w:rPr>
        <w:drawing>
          <wp:inline distT="114300" distB="114300" distL="114300" distR="114300" wp14:anchorId="00F3E8CE" wp14:editId="2836DFA2">
            <wp:extent cx="7052400" cy="3416300"/>
            <wp:effectExtent l="0" t="0" r="0" b="0"/>
            <wp:docPr id="36" name="image34.jpg"/>
            <wp:cNvGraphicFramePr/>
            <a:graphic xmlns:a="http://schemas.openxmlformats.org/drawingml/2006/main">
              <a:graphicData uri="http://schemas.openxmlformats.org/drawingml/2006/picture">
                <pic:pic xmlns:pic="http://schemas.openxmlformats.org/drawingml/2006/picture">
                  <pic:nvPicPr>
                    <pic:cNvPr id="0" name="image34.jpg"/>
                    <pic:cNvPicPr preferRelativeResize="0"/>
                  </pic:nvPicPr>
                  <pic:blipFill>
                    <a:blip r:embed="rId61"/>
                    <a:srcRect/>
                    <a:stretch>
                      <a:fillRect/>
                    </a:stretch>
                  </pic:blipFill>
                  <pic:spPr>
                    <a:xfrm>
                      <a:off x="0" y="0"/>
                      <a:ext cx="7052400" cy="3416300"/>
                    </a:xfrm>
                    <a:prstGeom prst="rect">
                      <a:avLst/>
                    </a:prstGeom>
                    <a:ln/>
                  </pic:spPr>
                </pic:pic>
              </a:graphicData>
            </a:graphic>
          </wp:inline>
        </w:drawing>
      </w:r>
    </w:p>
    <w:p w14:paraId="3DB8AA22" w14:textId="77777777" w:rsidR="00817C1B" w:rsidRDefault="00817C1B">
      <w:pPr>
        <w:jc w:val="center"/>
        <w:rPr>
          <w:sz w:val="18"/>
          <w:szCs w:val="18"/>
        </w:rPr>
      </w:pPr>
    </w:p>
    <w:p w14:paraId="7063A042" w14:textId="77777777" w:rsidR="00817C1B" w:rsidRDefault="00392EBA">
      <w:pPr>
        <w:jc w:val="center"/>
        <w:rPr>
          <w:sz w:val="18"/>
          <w:szCs w:val="18"/>
        </w:rPr>
      </w:pPr>
      <w:r>
        <w:rPr>
          <w:sz w:val="18"/>
          <w:szCs w:val="18"/>
        </w:rPr>
        <w:t>Chart 17b:  Density of Differences in Sharpe Ratios - Compared to B&amp;H QQQ w/o Hedges - QQQ Yearly Change: -55% - -20%</w:t>
      </w:r>
    </w:p>
    <w:p w14:paraId="3907EFE0" w14:textId="77777777" w:rsidR="00817C1B" w:rsidRDefault="00392EBA">
      <w:pPr>
        <w:jc w:val="center"/>
        <w:rPr>
          <w:sz w:val="18"/>
          <w:szCs w:val="18"/>
        </w:rPr>
      </w:pPr>
      <w:r>
        <w:rPr>
          <w:noProof/>
          <w:sz w:val="18"/>
          <w:szCs w:val="18"/>
        </w:rPr>
        <w:drawing>
          <wp:inline distT="114300" distB="114300" distL="114300" distR="114300" wp14:anchorId="5C2E178D" wp14:editId="6F4A6F6C">
            <wp:extent cx="7052400" cy="3416300"/>
            <wp:effectExtent l="0" t="0" r="0" b="0"/>
            <wp:docPr id="102" name="image130.jpg"/>
            <wp:cNvGraphicFramePr/>
            <a:graphic xmlns:a="http://schemas.openxmlformats.org/drawingml/2006/main">
              <a:graphicData uri="http://schemas.openxmlformats.org/drawingml/2006/picture">
                <pic:pic xmlns:pic="http://schemas.openxmlformats.org/drawingml/2006/picture">
                  <pic:nvPicPr>
                    <pic:cNvPr id="0" name="image130.jpg"/>
                    <pic:cNvPicPr preferRelativeResize="0"/>
                  </pic:nvPicPr>
                  <pic:blipFill>
                    <a:blip r:embed="rId62"/>
                    <a:srcRect/>
                    <a:stretch>
                      <a:fillRect/>
                    </a:stretch>
                  </pic:blipFill>
                  <pic:spPr>
                    <a:xfrm>
                      <a:off x="0" y="0"/>
                      <a:ext cx="7052400" cy="3416300"/>
                    </a:xfrm>
                    <a:prstGeom prst="rect">
                      <a:avLst/>
                    </a:prstGeom>
                    <a:ln/>
                  </pic:spPr>
                </pic:pic>
              </a:graphicData>
            </a:graphic>
          </wp:inline>
        </w:drawing>
      </w:r>
    </w:p>
    <w:p w14:paraId="008A2D6F" w14:textId="77777777" w:rsidR="00817C1B" w:rsidRDefault="00392EBA">
      <w:pPr>
        <w:jc w:val="center"/>
        <w:rPr>
          <w:sz w:val="18"/>
          <w:szCs w:val="18"/>
        </w:rPr>
      </w:pPr>
      <w:r>
        <w:br w:type="page"/>
      </w:r>
    </w:p>
    <w:p w14:paraId="4FFDB29F" w14:textId="77777777" w:rsidR="00817C1B" w:rsidRDefault="00392EBA">
      <w:pPr>
        <w:jc w:val="center"/>
        <w:rPr>
          <w:sz w:val="18"/>
          <w:szCs w:val="18"/>
        </w:rPr>
      </w:pPr>
      <w:r>
        <w:rPr>
          <w:sz w:val="18"/>
          <w:szCs w:val="18"/>
        </w:rPr>
        <w:lastRenderedPageBreak/>
        <w:t>Chart 17c:  Density of Diffe</w:t>
      </w:r>
      <w:r>
        <w:rPr>
          <w:sz w:val="18"/>
          <w:szCs w:val="18"/>
        </w:rPr>
        <w:t>rences in MAR Ratios - Compared to B&amp;H QQQ w/o Hedges - QQQ Yearly Change: -55% - -20%</w:t>
      </w:r>
    </w:p>
    <w:p w14:paraId="52BA598D" w14:textId="77777777" w:rsidR="00817C1B" w:rsidRDefault="00392EBA">
      <w:pPr>
        <w:jc w:val="center"/>
        <w:rPr>
          <w:sz w:val="18"/>
          <w:szCs w:val="18"/>
        </w:rPr>
      </w:pPr>
      <w:r>
        <w:rPr>
          <w:noProof/>
          <w:sz w:val="18"/>
          <w:szCs w:val="18"/>
        </w:rPr>
        <w:drawing>
          <wp:inline distT="114300" distB="114300" distL="114300" distR="114300" wp14:anchorId="15A179AC" wp14:editId="6EC583A3">
            <wp:extent cx="7052400" cy="3416300"/>
            <wp:effectExtent l="0" t="0" r="0" b="0"/>
            <wp:docPr id="119" name="image119.jpg"/>
            <wp:cNvGraphicFramePr/>
            <a:graphic xmlns:a="http://schemas.openxmlformats.org/drawingml/2006/main">
              <a:graphicData uri="http://schemas.openxmlformats.org/drawingml/2006/picture">
                <pic:pic xmlns:pic="http://schemas.openxmlformats.org/drawingml/2006/picture">
                  <pic:nvPicPr>
                    <pic:cNvPr id="0" name="image119.jpg"/>
                    <pic:cNvPicPr preferRelativeResize="0"/>
                  </pic:nvPicPr>
                  <pic:blipFill>
                    <a:blip r:embed="rId63"/>
                    <a:srcRect/>
                    <a:stretch>
                      <a:fillRect/>
                    </a:stretch>
                  </pic:blipFill>
                  <pic:spPr>
                    <a:xfrm>
                      <a:off x="0" y="0"/>
                      <a:ext cx="7052400" cy="3416300"/>
                    </a:xfrm>
                    <a:prstGeom prst="rect">
                      <a:avLst/>
                    </a:prstGeom>
                    <a:ln/>
                  </pic:spPr>
                </pic:pic>
              </a:graphicData>
            </a:graphic>
          </wp:inline>
        </w:drawing>
      </w:r>
    </w:p>
    <w:p w14:paraId="520A48B8" w14:textId="77777777" w:rsidR="00817C1B" w:rsidRDefault="00392EBA">
      <w:pPr>
        <w:jc w:val="center"/>
        <w:rPr>
          <w:sz w:val="18"/>
          <w:szCs w:val="18"/>
        </w:rPr>
      </w:pPr>
      <w:r>
        <w:rPr>
          <w:sz w:val="18"/>
          <w:szCs w:val="18"/>
        </w:rPr>
        <w:t>Chart 17d:  Density of Differences in Maximum Drawdowns - Compared to B&amp;H QQQ w/o Hedges - QQQ Yearly Change: -55% - -20%</w:t>
      </w:r>
    </w:p>
    <w:p w14:paraId="6F949428" w14:textId="77777777" w:rsidR="00817C1B" w:rsidRDefault="00392EBA">
      <w:pPr>
        <w:jc w:val="center"/>
        <w:rPr>
          <w:sz w:val="18"/>
          <w:szCs w:val="18"/>
        </w:rPr>
      </w:pPr>
      <w:r>
        <w:rPr>
          <w:noProof/>
          <w:sz w:val="18"/>
          <w:szCs w:val="18"/>
        </w:rPr>
        <w:drawing>
          <wp:inline distT="114300" distB="114300" distL="114300" distR="114300" wp14:anchorId="2A580159" wp14:editId="0D387400">
            <wp:extent cx="7052400" cy="3416300"/>
            <wp:effectExtent l="0" t="0" r="0" b="0"/>
            <wp:docPr id="132" name="image132.jpg"/>
            <wp:cNvGraphicFramePr/>
            <a:graphic xmlns:a="http://schemas.openxmlformats.org/drawingml/2006/main">
              <a:graphicData uri="http://schemas.openxmlformats.org/drawingml/2006/picture">
                <pic:pic xmlns:pic="http://schemas.openxmlformats.org/drawingml/2006/picture">
                  <pic:nvPicPr>
                    <pic:cNvPr id="0" name="image132.jpg"/>
                    <pic:cNvPicPr preferRelativeResize="0"/>
                  </pic:nvPicPr>
                  <pic:blipFill>
                    <a:blip r:embed="rId64"/>
                    <a:srcRect/>
                    <a:stretch>
                      <a:fillRect/>
                    </a:stretch>
                  </pic:blipFill>
                  <pic:spPr>
                    <a:xfrm>
                      <a:off x="0" y="0"/>
                      <a:ext cx="7052400" cy="3416300"/>
                    </a:xfrm>
                    <a:prstGeom prst="rect">
                      <a:avLst/>
                    </a:prstGeom>
                    <a:ln/>
                  </pic:spPr>
                </pic:pic>
              </a:graphicData>
            </a:graphic>
          </wp:inline>
        </w:drawing>
      </w:r>
    </w:p>
    <w:p w14:paraId="3204B027" w14:textId="77777777" w:rsidR="00817C1B" w:rsidRDefault="00392EBA">
      <w:pPr>
        <w:jc w:val="center"/>
        <w:rPr>
          <w:sz w:val="18"/>
          <w:szCs w:val="18"/>
        </w:rPr>
      </w:pPr>
      <w:r>
        <w:rPr>
          <w:sz w:val="18"/>
          <w:szCs w:val="18"/>
        </w:rPr>
        <w:t>Table 10a: Performance indicators of differences compared to B&amp;H QQQ w/o Hedges - QQQ Yearly Change: -55% - -20%</w:t>
      </w:r>
    </w:p>
    <w:p w14:paraId="78E6981D" w14:textId="77777777" w:rsidR="00817C1B" w:rsidRDefault="00392EBA">
      <w:pPr>
        <w:jc w:val="center"/>
        <w:rPr>
          <w:sz w:val="18"/>
          <w:szCs w:val="18"/>
        </w:rPr>
      </w:pPr>
      <w:r>
        <w:rPr>
          <w:noProof/>
          <w:sz w:val="18"/>
          <w:szCs w:val="18"/>
        </w:rPr>
        <w:drawing>
          <wp:inline distT="114300" distB="114300" distL="114300" distR="114300" wp14:anchorId="49C6CE1C" wp14:editId="6ADDE528">
            <wp:extent cx="7052400" cy="1549400"/>
            <wp:effectExtent l="0" t="0" r="0" b="0"/>
            <wp:docPr id="140" name="image136.png"/>
            <wp:cNvGraphicFramePr/>
            <a:graphic xmlns:a="http://schemas.openxmlformats.org/drawingml/2006/main">
              <a:graphicData uri="http://schemas.openxmlformats.org/drawingml/2006/picture">
                <pic:pic xmlns:pic="http://schemas.openxmlformats.org/drawingml/2006/picture">
                  <pic:nvPicPr>
                    <pic:cNvPr id="0" name="image136.png"/>
                    <pic:cNvPicPr preferRelativeResize="0"/>
                  </pic:nvPicPr>
                  <pic:blipFill>
                    <a:blip r:embed="rId65"/>
                    <a:srcRect/>
                    <a:stretch>
                      <a:fillRect/>
                    </a:stretch>
                  </pic:blipFill>
                  <pic:spPr>
                    <a:xfrm>
                      <a:off x="0" y="0"/>
                      <a:ext cx="7052400" cy="1549400"/>
                    </a:xfrm>
                    <a:prstGeom prst="rect">
                      <a:avLst/>
                    </a:prstGeom>
                    <a:ln/>
                  </pic:spPr>
                </pic:pic>
              </a:graphicData>
            </a:graphic>
          </wp:inline>
        </w:drawing>
      </w:r>
      <w:r>
        <w:br w:type="page"/>
      </w:r>
    </w:p>
    <w:p w14:paraId="41668978" w14:textId="77777777" w:rsidR="00817C1B" w:rsidRDefault="00392EBA">
      <w:pPr>
        <w:jc w:val="both"/>
      </w:pPr>
      <w:r>
        <w:rPr>
          <w:rFonts w:ascii="Trebuchet MS" w:eastAsia="Trebuchet MS" w:hAnsi="Trebuchet MS" w:cs="Trebuchet MS"/>
          <w:b/>
          <w:color w:val="38761D"/>
          <w:sz w:val="24"/>
          <w:szCs w:val="24"/>
        </w:rPr>
        <w:lastRenderedPageBreak/>
        <w:t>QQQ Yearly Chang</w:t>
      </w:r>
      <w:r>
        <w:rPr>
          <w:rFonts w:ascii="Trebuchet MS" w:eastAsia="Trebuchet MS" w:hAnsi="Trebuchet MS" w:cs="Trebuchet MS"/>
          <w:b/>
          <w:color w:val="38761D"/>
          <w:sz w:val="24"/>
          <w:szCs w:val="24"/>
        </w:rPr>
        <w:t>e: -20% - -10%</w:t>
      </w:r>
    </w:p>
    <w:p w14:paraId="15B4A108" w14:textId="77777777" w:rsidR="00817C1B" w:rsidRDefault="00817C1B">
      <w:pPr>
        <w:jc w:val="both"/>
      </w:pPr>
    </w:p>
    <w:p w14:paraId="4D925A9D" w14:textId="77777777" w:rsidR="00817C1B" w:rsidRDefault="00392EBA">
      <w:pPr>
        <w:jc w:val="both"/>
      </w:pPr>
      <w:r>
        <w:t xml:space="preserve">The second examined group is also a </w:t>
      </w:r>
      <w:r>
        <w:rPr>
          <w:b/>
        </w:rPr>
        <w:t>bearish case</w:t>
      </w:r>
      <w:r>
        <w:t xml:space="preserve">: the </w:t>
      </w:r>
      <w:r>
        <w:rPr>
          <w:b/>
        </w:rPr>
        <w:t>yearly percentage change of QQQ is between -20% and -10%</w:t>
      </w:r>
      <w:r>
        <w:t>. Interesting, but it has not been such a year since 1999 (Table 8).</w:t>
      </w:r>
    </w:p>
    <w:p w14:paraId="02AB2769" w14:textId="77777777" w:rsidR="00817C1B" w:rsidRDefault="00817C1B">
      <w:pPr>
        <w:jc w:val="both"/>
      </w:pPr>
    </w:p>
    <w:p w14:paraId="7B13899C" w14:textId="77777777" w:rsidR="00817C1B" w:rsidRDefault="00392EBA">
      <w:pPr>
        <w:jc w:val="both"/>
      </w:pPr>
      <w:r>
        <w:t>Chart 18a-d, Table 9b, Chart 19a-d and Table 10b show the de</w:t>
      </w:r>
      <w:r>
        <w:t>nsity of performance indicators again. In this case, there are 3 subgroups based on the maximum drawdowns of ‘Pure QQQ’. As the mean and median of CAGRs are still negative, Sharpe ratios and MAR ratios are not decisive.</w:t>
      </w:r>
    </w:p>
    <w:p w14:paraId="379314CB" w14:textId="77777777" w:rsidR="00817C1B" w:rsidRDefault="00817C1B">
      <w:pPr>
        <w:jc w:val="both"/>
      </w:pPr>
    </w:p>
    <w:p w14:paraId="2091888A" w14:textId="77777777" w:rsidR="00817C1B" w:rsidRDefault="00392EBA">
      <w:pPr>
        <w:jc w:val="both"/>
      </w:pPr>
      <w:r>
        <w:t>In this case,</w:t>
      </w:r>
      <w:r>
        <w:rPr>
          <w:b/>
        </w:rPr>
        <w:t xml:space="preserve"> there is not a clear </w:t>
      </w:r>
      <w:r>
        <w:rPr>
          <w:b/>
        </w:rPr>
        <w:t>winner</w:t>
      </w:r>
      <w:r>
        <w:t xml:space="preserve">, but because we are </w:t>
      </w:r>
      <w:r>
        <w:rPr>
          <w:b/>
        </w:rPr>
        <w:t>risk averse and QQQ lost at least 10%</w:t>
      </w:r>
      <w:r>
        <w:t xml:space="preserve">, our </w:t>
      </w:r>
      <w:r>
        <w:rPr>
          <w:b/>
        </w:rPr>
        <w:t>strategy rank</w:t>
      </w:r>
      <w:r>
        <w:t xml:space="preserve"> in this second case is the following: </w:t>
      </w:r>
      <w:r>
        <w:br/>
      </w:r>
      <w:r>
        <w:rPr>
          <w:b/>
        </w:rPr>
        <w:t>‘Combined’ &gt; ‘Put hedge’ &gt; ‘Bond hedge’ &gt;&gt;&gt; ‘Pure QQQ’</w:t>
      </w:r>
      <w:r>
        <w:t>.</w:t>
      </w:r>
    </w:p>
    <w:p w14:paraId="0A2FD2FA" w14:textId="77777777" w:rsidR="00817C1B" w:rsidRDefault="00817C1B">
      <w:pPr>
        <w:jc w:val="both"/>
      </w:pPr>
    </w:p>
    <w:p w14:paraId="67BD872D" w14:textId="77777777" w:rsidR="00817C1B" w:rsidRDefault="00392EBA">
      <w:pPr>
        <w:jc w:val="center"/>
        <w:rPr>
          <w:sz w:val="18"/>
          <w:szCs w:val="18"/>
        </w:rPr>
      </w:pPr>
      <w:r>
        <w:rPr>
          <w:sz w:val="18"/>
          <w:szCs w:val="18"/>
        </w:rPr>
        <w:t>Chart 18a:  Density of CAGRs - QQQ Yearly Change: -20% - -10%</w:t>
      </w:r>
    </w:p>
    <w:p w14:paraId="6CF7B8B0" w14:textId="77777777" w:rsidR="00817C1B" w:rsidRDefault="00392EBA">
      <w:pPr>
        <w:jc w:val="center"/>
        <w:rPr>
          <w:sz w:val="18"/>
          <w:szCs w:val="18"/>
        </w:rPr>
      </w:pPr>
      <w:r>
        <w:rPr>
          <w:noProof/>
          <w:sz w:val="18"/>
          <w:szCs w:val="18"/>
        </w:rPr>
        <w:drawing>
          <wp:inline distT="114300" distB="114300" distL="114300" distR="114300" wp14:anchorId="5DAD1954" wp14:editId="54B197A3">
            <wp:extent cx="7052400" cy="3670300"/>
            <wp:effectExtent l="0" t="0" r="0" b="0"/>
            <wp:docPr id="92" name="image87.jpg"/>
            <wp:cNvGraphicFramePr/>
            <a:graphic xmlns:a="http://schemas.openxmlformats.org/drawingml/2006/main">
              <a:graphicData uri="http://schemas.openxmlformats.org/drawingml/2006/picture">
                <pic:pic xmlns:pic="http://schemas.openxmlformats.org/drawingml/2006/picture">
                  <pic:nvPicPr>
                    <pic:cNvPr id="0" name="image87.jpg"/>
                    <pic:cNvPicPr preferRelativeResize="0"/>
                  </pic:nvPicPr>
                  <pic:blipFill>
                    <a:blip r:embed="rId66"/>
                    <a:srcRect/>
                    <a:stretch>
                      <a:fillRect/>
                    </a:stretch>
                  </pic:blipFill>
                  <pic:spPr>
                    <a:xfrm>
                      <a:off x="0" y="0"/>
                      <a:ext cx="7052400" cy="3670300"/>
                    </a:xfrm>
                    <a:prstGeom prst="rect">
                      <a:avLst/>
                    </a:prstGeom>
                    <a:ln/>
                  </pic:spPr>
                </pic:pic>
              </a:graphicData>
            </a:graphic>
          </wp:inline>
        </w:drawing>
      </w:r>
    </w:p>
    <w:p w14:paraId="767534FD" w14:textId="77777777" w:rsidR="00817C1B" w:rsidRDefault="00392EBA">
      <w:pPr>
        <w:jc w:val="center"/>
        <w:rPr>
          <w:sz w:val="18"/>
          <w:szCs w:val="18"/>
        </w:rPr>
      </w:pPr>
      <w:r>
        <w:br w:type="page"/>
      </w:r>
    </w:p>
    <w:p w14:paraId="097ED443" w14:textId="77777777" w:rsidR="00817C1B" w:rsidRDefault="00392EBA">
      <w:pPr>
        <w:jc w:val="center"/>
        <w:rPr>
          <w:sz w:val="18"/>
          <w:szCs w:val="18"/>
        </w:rPr>
      </w:pPr>
      <w:r>
        <w:rPr>
          <w:sz w:val="18"/>
          <w:szCs w:val="18"/>
        </w:rPr>
        <w:lastRenderedPageBreak/>
        <w:t>Chart 18b:  Density of Sharpe Ratios - QQQ Yearly Change: -20% - -10%</w:t>
      </w:r>
    </w:p>
    <w:p w14:paraId="61A1B5AD" w14:textId="77777777" w:rsidR="00817C1B" w:rsidRDefault="00392EBA">
      <w:pPr>
        <w:jc w:val="center"/>
        <w:rPr>
          <w:sz w:val="18"/>
          <w:szCs w:val="18"/>
        </w:rPr>
      </w:pPr>
      <w:r>
        <w:rPr>
          <w:noProof/>
          <w:sz w:val="18"/>
          <w:szCs w:val="18"/>
        </w:rPr>
        <w:drawing>
          <wp:inline distT="114300" distB="114300" distL="114300" distR="114300" wp14:anchorId="3C13262D" wp14:editId="45AC5DA5">
            <wp:extent cx="7052400" cy="3670300"/>
            <wp:effectExtent l="0" t="0" r="0" b="0"/>
            <wp:docPr id="89" name="image92.jpg"/>
            <wp:cNvGraphicFramePr/>
            <a:graphic xmlns:a="http://schemas.openxmlformats.org/drawingml/2006/main">
              <a:graphicData uri="http://schemas.openxmlformats.org/drawingml/2006/picture">
                <pic:pic xmlns:pic="http://schemas.openxmlformats.org/drawingml/2006/picture">
                  <pic:nvPicPr>
                    <pic:cNvPr id="0" name="image92.jpg"/>
                    <pic:cNvPicPr preferRelativeResize="0"/>
                  </pic:nvPicPr>
                  <pic:blipFill>
                    <a:blip r:embed="rId67"/>
                    <a:srcRect/>
                    <a:stretch>
                      <a:fillRect/>
                    </a:stretch>
                  </pic:blipFill>
                  <pic:spPr>
                    <a:xfrm>
                      <a:off x="0" y="0"/>
                      <a:ext cx="7052400" cy="3670300"/>
                    </a:xfrm>
                    <a:prstGeom prst="rect">
                      <a:avLst/>
                    </a:prstGeom>
                    <a:ln/>
                  </pic:spPr>
                </pic:pic>
              </a:graphicData>
            </a:graphic>
          </wp:inline>
        </w:drawing>
      </w:r>
    </w:p>
    <w:p w14:paraId="13C3958D" w14:textId="77777777" w:rsidR="00817C1B" w:rsidRDefault="00817C1B">
      <w:pPr>
        <w:jc w:val="center"/>
        <w:rPr>
          <w:sz w:val="18"/>
          <w:szCs w:val="18"/>
        </w:rPr>
      </w:pPr>
    </w:p>
    <w:p w14:paraId="514D04AF" w14:textId="77777777" w:rsidR="00817C1B" w:rsidRDefault="00392EBA">
      <w:pPr>
        <w:jc w:val="center"/>
        <w:rPr>
          <w:sz w:val="18"/>
          <w:szCs w:val="18"/>
        </w:rPr>
      </w:pPr>
      <w:r>
        <w:rPr>
          <w:sz w:val="18"/>
          <w:szCs w:val="18"/>
        </w:rPr>
        <w:t>Chart 18c:  Density of MAR Ratios - QQQ Yearly Change: -20% - -10%</w:t>
      </w:r>
    </w:p>
    <w:p w14:paraId="12B98BD6" w14:textId="77777777" w:rsidR="00817C1B" w:rsidRDefault="00392EBA">
      <w:pPr>
        <w:jc w:val="center"/>
        <w:rPr>
          <w:sz w:val="18"/>
          <w:szCs w:val="18"/>
        </w:rPr>
      </w:pPr>
      <w:r>
        <w:rPr>
          <w:noProof/>
          <w:sz w:val="18"/>
          <w:szCs w:val="18"/>
        </w:rPr>
        <w:drawing>
          <wp:inline distT="114300" distB="114300" distL="114300" distR="114300" wp14:anchorId="00915FDB" wp14:editId="64171106">
            <wp:extent cx="7052400" cy="4051300"/>
            <wp:effectExtent l="0" t="0" r="0" b="0"/>
            <wp:docPr id="45" name="image39.jpg"/>
            <wp:cNvGraphicFramePr/>
            <a:graphic xmlns:a="http://schemas.openxmlformats.org/drawingml/2006/main">
              <a:graphicData uri="http://schemas.openxmlformats.org/drawingml/2006/picture">
                <pic:pic xmlns:pic="http://schemas.openxmlformats.org/drawingml/2006/picture">
                  <pic:nvPicPr>
                    <pic:cNvPr id="0" name="image39.jpg"/>
                    <pic:cNvPicPr preferRelativeResize="0"/>
                  </pic:nvPicPr>
                  <pic:blipFill>
                    <a:blip r:embed="rId68"/>
                    <a:srcRect/>
                    <a:stretch>
                      <a:fillRect/>
                    </a:stretch>
                  </pic:blipFill>
                  <pic:spPr>
                    <a:xfrm>
                      <a:off x="0" y="0"/>
                      <a:ext cx="7052400" cy="4051300"/>
                    </a:xfrm>
                    <a:prstGeom prst="rect">
                      <a:avLst/>
                    </a:prstGeom>
                    <a:ln/>
                  </pic:spPr>
                </pic:pic>
              </a:graphicData>
            </a:graphic>
          </wp:inline>
        </w:drawing>
      </w:r>
    </w:p>
    <w:p w14:paraId="7336578C" w14:textId="77777777" w:rsidR="00817C1B" w:rsidRDefault="00392EBA">
      <w:pPr>
        <w:jc w:val="center"/>
        <w:rPr>
          <w:sz w:val="18"/>
          <w:szCs w:val="18"/>
        </w:rPr>
      </w:pPr>
      <w:r>
        <w:br w:type="page"/>
      </w:r>
    </w:p>
    <w:p w14:paraId="06C988A7" w14:textId="77777777" w:rsidR="00817C1B" w:rsidRDefault="00392EBA">
      <w:pPr>
        <w:jc w:val="center"/>
        <w:rPr>
          <w:sz w:val="18"/>
          <w:szCs w:val="18"/>
        </w:rPr>
      </w:pPr>
      <w:r>
        <w:rPr>
          <w:sz w:val="18"/>
          <w:szCs w:val="18"/>
        </w:rPr>
        <w:lastRenderedPageBreak/>
        <w:t>Chart 18d:  Density of Maximum Drawdowns - QQQ</w:t>
      </w:r>
      <w:r>
        <w:rPr>
          <w:sz w:val="18"/>
          <w:szCs w:val="18"/>
        </w:rPr>
        <w:t xml:space="preserve"> Yearly Change: -20% - -10%</w:t>
      </w:r>
    </w:p>
    <w:p w14:paraId="7C8C2CA1" w14:textId="77777777" w:rsidR="00817C1B" w:rsidRDefault="00392EBA">
      <w:pPr>
        <w:jc w:val="center"/>
        <w:rPr>
          <w:sz w:val="18"/>
          <w:szCs w:val="18"/>
        </w:rPr>
      </w:pPr>
      <w:r>
        <w:rPr>
          <w:noProof/>
          <w:sz w:val="18"/>
          <w:szCs w:val="18"/>
        </w:rPr>
        <w:drawing>
          <wp:inline distT="114300" distB="114300" distL="114300" distR="114300" wp14:anchorId="63F5036C" wp14:editId="49912F49">
            <wp:extent cx="7052400" cy="3403600"/>
            <wp:effectExtent l="0" t="0" r="0" b="0"/>
            <wp:docPr id="10"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69"/>
                    <a:srcRect/>
                    <a:stretch>
                      <a:fillRect/>
                    </a:stretch>
                  </pic:blipFill>
                  <pic:spPr>
                    <a:xfrm>
                      <a:off x="0" y="0"/>
                      <a:ext cx="7052400" cy="3403600"/>
                    </a:xfrm>
                    <a:prstGeom prst="rect">
                      <a:avLst/>
                    </a:prstGeom>
                    <a:ln/>
                  </pic:spPr>
                </pic:pic>
              </a:graphicData>
            </a:graphic>
          </wp:inline>
        </w:drawing>
      </w:r>
    </w:p>
    <w:p w14:paraId="28992502" w14:textId="77777777" w:rsidR="00817C1B" w:rsidRDefault="00817C1B">
      <w:pPr>
        <w:jc w:val="center"/>
        <w:rPr>
          <w:sz w:val="18"/>
          <w:szCs w:val="18"/>
        </w:rPr>
      </w:pPr>
    </w:p>
    <w:p w14:paraId="162D95C5" w14:textId="77777777" w:rsidR="00817C1B" w:rsidRDefault="00392EBA">
      <w:pPr>
        <w:jc w:val="center"/>
        <w:rPr>
          <w:sz w:val="18"/>
          <w:szCs w:val="18"/>
        </w:rPr>
      </w:pPr>
      <w:r>
        <w:rPr>
          <w:sz w:val="18"/>
          <w:szCs w:val="18"/>
        </w:rPr>
        <w:t>Table 9b: Performance indicators of different strategies - QQQ Yearly Change: -20% - -10%</w:t>
      </w:r>
    </w:p>
    <w:p w14:paraId="6DD76A73" w14:textId="77777777" w:rsidR="00817C1B" w:rsidRDefault="00392EBA">
      <w:pPr>
        <w:jc w:val="center"/>
        <w:rPr>
          <w:sz w:val="18"/>
          <w:szCs w:val="18"/>
        </w:rPr>
      </w:pPr>
      <w:r>
        <w:rPr>
          <w:noProof/>
          <w:sz w:val="18"/>
          <w:szCs w:val="18"/>
        </w:rPr>
        <w:drawing>
          <wp:inline distT="114300" distB="114300" distL="114300" distR="114300" wp14:anchorId="61CFD052" wp14:editId="7C77BA98">
            <wp:extent cx="7052400" cy="2159000"/>
            <wp:effectExtent l="0" t="0" r="0" b="0"/>
            <wp:docPr id="80" name="image76.png"/>
            <wp:cNvGraphicFramePr/>
            <a:graphic xmlns:a="http://schemas.openxmlformats.org/drawingml/2006/main">
              <a:graphicData uri="http://schemas.openxmlformats.org/drawingml/2006/picture">
                <pic:pic xmlns:pic="http://schemas.openxmlformats.org/drawingml/2006/picture">
                  <pic:nvPicPr>
                    <pic:cNvPr id="0" name="image76.png"/>
                    <pic:cNvPicPr preferRelativeResize="0"/>
                  </pic:nvPicPr>
                  <pic:blipFill>
                    <a:blip r:embed="rId70"/>
                    <a:srcRect/>
                    <a:stretch>
                      <a:fillRect/>
                    </a:stretch>
                  </pic:blipFill>
                  <pic:spPr>
                    <a:xfrm>
                      <a:off x="0" y="0"/>
                      <a:ext cx="7052400" cy="2159000"/>
                    </a:xfrm>
                    <a:prstGeom prst="rect">
                      <a:avLst/>
                    </a:prstGeom>
                    <a:ln/>
                  </pic:spPr>
                </pic:pic>
              </a:graphicData>
            </a:graphic>
          </wp:inline>
        </w:drawing>
      </w:r>
    </w:p>
    <w:p w14:paraId="7C1BAD58" w14:textId="77777777" w:rsidR="00817C1B" w:rsidRDefault="00817C1B">
      <w:pPr>
        <w:jc w:val="center"/>
        <w:rPr>
          <w:sz w:val="18"/>
          <w:szCs w:val="18"/>
        </w:rPr>
      </w:pPr>
    </w:p>
    <w:p w14:paraId="4CD5F4A4" w14:textId="77777777" w:rsidR="00817C1B" w:rsidRDefault="00817C1B">
      <w:pPr>
        <w:jc w:val="center"/>
        <w:rPr>
          <w:sz w:val="18"/>
          <w:szCs w:val="18"/>
        </w:rPr>
      </w:pPr>
    </w:p>
    <w:p w14:paraId="4717122B" w14:textId="77777777" w:rsidR="00817C1B" w:rsidRDefault="00392EBA">
      <w:pPr>
        <w:jc w:val="center"/>
        <w:rPr>
          <w:sz w:val="18"/>
          <w:szCs w:val="18"/>
        </w:rPr>
      </w:pPr>
      <w:r>
        <w:br w:type="page"/>
      </w:r>
    </w:p>
    <w:p w14:paraId="5B20C640" w14:textId="77777777" w:rsidR="00817C1B" w:rsidRDefault="00392EBA">
      <w:pPr>
        <w:jc w:val="center"/>
        <w:rPr>
          <w:sz w:val="18"/>
          <w:szCs w:val="18"/>
        </w:rPr>
      </w:pPr>
      <w:r>
        <w:rPr>
          <w:sz w:val="18"/>
          <w:szCs w:val="18"/>
        </w:rPr>
        <w:lastRenderedPageBreak/>
        <w:t>Chart 19a:  Density of Differences in CAGRs - Compared to B&amp;H QQQ w/o Hedges - QQQ Yearly Change: -20% - -10%</w:t>
      </w:r>
    </w:p>
    <w:p w14:paraId="13625BCC" w14:textId="77777777" w:rsidR="00817C1B" w:rsidRDefault="00392EBA">
      <w:pPr>
        <w:jc w:val="center"/>
        <w:rPr>
          <w:sz w:val="18"/>
          <w:szCs w:val="18"/>
        </w:rPr>
      </w:pPr>
      <w:r>
        <w:rPr>
          <w:noProof/>
          <w:sz w:val="18"/>
          <w:szCs w:val="18"/>
        </w:rPr>
        <w:drawing>
          <wp:inline distT="114300" distB="114300" distL="114300" distR="114300" wp14:anchorId="183E4D23" wp14:editId="2921EB31">
            <wp:extent cx="7052400" cy="3302000"/>
            <wp:effectExtent l="0" t="0" r="0" b="0"/>
            <wp:docPr id="72" name="image62.jpg"/>
            <wp:cNvGraphicFramePr/>
            <a:graphic xmlns:a="http://schemas.openxmlformats.org/drawingml/2006/main">
              <a:graphicData uri="http://schemas.openxmlformats.org/drawingml/2006/picture">
                <pic:pic xmlns:pic="http://schemas.openxmlformats.org/drawingml/2006/picture">
                  <pic:nvPicPr>
                    <pic:cNvPr id="0" name="image62.jpg"/>
                    <pic:cNvPicPr preferRelativeResize="0"/>
                  </pic:nvPicPr>
                  <pic:blipFill>
                    <a:blip r:embed="rId71"/>
                    <a:srcRect/>
                    <a:stretch>
                      <a:fillRect/>
                    </a:stretch>
                  </pic:blipFill>
                  <pic:spPr>
                    <a:xfrm>
                      <a:off x="0" y="0"/>
                      <a:ext cx="7052400" cy="3302000"/>
                    </a:xfrm>
                    <a:prstGeom prst="rect">
                      <a:avLst/>
                    </a:prstGeom>
                    <a:ln/>
                  </pic:spPr>
                </pic:pic>
              </a:graphicData>
            </a:graphic>
          </wp:inline>
        </w:drawing>
      </w:r>
    </w:p>
    <w:p w14:paraId="3F684CB8" w14:textId="77777777" w:rsidR="00817C1B" w:rsidRDefault="00817C1B">
      <w:pPr>
        <w:jc w:val="center"/>
        <w:rPr>
          <w:sz w:val="18"/>
          <w:szCs w:val="18"/>
        </w:rPr>
      </w:pPr>
    </w:p>
    <w:p w14:paraId="1F53FDBF" w14:textId="77777777" w:rsidR="00817C1B" w:rsidRDefault="00392EBA">
      <w:pPr>
        <w:jc w:val="center"/>
        <w:rPr>
          <w:sz w:val="18"/>
          <w:szCs w:val="18"/>
        </w:rPr>
      </w:pPr>
      <w:r>
        <w:rPr>
          <w:sz w:val="18"/>
          <w:szCs w:val="18"/>
        </w:rPr>
        <w:t>Chart 19b:  Density of Differences in Sharpe Ratios - Compared to B&amp;H QQQ w/o Hedges - QQQ Yearly Change: -20% - -10%</w:t>
      </w:r>
    </w:p>
    <w:p w14:paraId="743A4620" w14:textId="77777777" w:rsidR="00817C1B" w:rsidRDefault="00392EBA">
      <w:pPr>
        <w:jc w:val="center"/>
        <w:rPr>
          <w:sz w:val="18"/>
          <w:szCs w:val="18"/>
        </w:rPr>
      </w:pPr>
      <w:r>
        <w:rPr>
          <w:noProof/>
          <w:sz w:val="18"/>
          <w:szCs w:val="18"/>
        </w:rPr>
        <w:drawing>
          <wp:inline distT="114300" distB="114300" distL="114300" distR="114300" wp14:anchorId="1548887A" wp14:editId="1AA86359">
            <wp:extent cx="7052400" cy="3467100"/>
            <wp:effectExtent l="0" t="0" r="0" b="0"/>
            <wp:docPr id="20" name="image16.jpg"/>
            <wp:cNvGraphicFramePr/>
            <a:graphic xmlns:a="http://schemas.openxmlformats.org/drawingml/2006/main">
              <a:graphicData uri="http://schemas.openxmlformats.org/drawingml/2006/picture">
                <pic:pic xmlns:pic="http://schemas.openxmlformats.org/drawingml/2006/picture">
                  <pic:nvPicPr>
                    <pic:cNvPr id="0" name="image16.jpg"/>
                    <pic:cNvPicPr preferRelativeResize="0"/>
                  </pic:nvPicPr>
                  <pic:blipFill>
                    <a:blip r:embed="rId72"/>
                    <a:srcRect/>
                    <a:stretch>
                      <a:fillRect/>
                    </a:stretch>
                  </pic:blipFill>
                  <pic:spPr>
                    <a:xfrm>
                      <a:off x="0" y="0"/>
                      <a:ext cx="7052400" cy="3467100"/>
                    </a:xfrm>
                    <a:prstGeom prst="rect">
                      <a:avLst/>
                    </a:prstGeom>
                    <a:ln/>
                  </pic:spPr>
                </pic:pic>
              </a:graphicData>
            </a:graphic>
          </wp:inline>
        </w:drawing>
      </w:r>
    </w:p>
    <w:p w14:paraId="7AA12D3C" w14:textId="77777777" w:rsidR="00817C1B" w:rsidRDefault="00392EBA">
      <w:pPr>
        <w:jc w:val="center"/>
        <w:rPr>
          <w:sz w:val="18"/>
          <w:szCs w:val="18"/>
        </w:rPr>
      </w:pPr>
      <w:r>
        <w:br w:type="page"/>
      </w:r>
    </w:p>
    <w:p w14:paraId="1451617E" w14:textId="77777777" w:rsidR="00817C1B" w:rsidRDefault="00392EBA">
      <w:pPr>
        <w:jc w:val="center"/>
        <w:rPr>
          <w:sz w:val="18"/>
          <w:szCs w:val="18"/>
        </w:rPr>
      </w:pPr>
      <w:r>
        <w:rPr>
          <w:sz w:val="18"/>
          <w:szCs w:val="18"/>
        </w:rPr>
        <w:lastRenderedPageBreak/>
        <w:t>Chart 19c:  Density o</w:t>
      </w:r>
      <w:r>
        <w:rPr>
          <w:sz w:val="18"/>
          <w:szCs w:val="18"/>
        </w:rPr>
        <w:t>f Differences in MAR Ratios - Compared to B&amp;H QQQ w/o Hedges - QQQ Yearly Change: -20% - -10%</w:t>
      </w:r>
    </w:p>
    <w:p w14:paraId="1115DAA5" w14:textId="77777777" w:rsidR="00817C1B" w:rsidRDefault="00392EBA">
      <w:pPr>
        <w:jc w:val="center"/>
        <w:rPr>
          <w:sz w:val="18"/>
          <w:szCs w:val="18"/>
        </w:rPr>
      </w:pPr>
      <w:r>
        <w:rPr>
          <w:noProof/>
          <w:sz w:val="18"/>
          <w:szCs w:val="18"/>
        </w:rPr>
        <w:drawing>
          <wp:inline distT="114300" distB="114300" distL="114300" distR="114300" wp14:anchorId="48F81B8F" wp14:editId="714608B3">
            <wp:extent cx="7052400" cy="3416300"/>
            <wp:effectExtent l="0" t="0" r="0" b="0"/>
            <wp:docPr id="62" name="image57.jpg"/>
            <wp:cNvGraphicFramePr/>
            <a:graphic xmlns:a="http://schemas.openxmlformats.org/drawingml/2006/main">
              <a:graphicData uri="http://schemas.openxmlformats.org/drawingml/2006/picture">
                <pic:pic xmlns:pic="http://schemas.openxmlformats.org/drawingml/2006/picture">
                  <pic:nvPicPr>
                    <pic:cNvPr id="0" name="image57.jpg"/>
                    <pic:cNvPicPr preferRelativeResize="0"/>
                  </pic:nvPicPr>
                  <pic:blipFill>
                    <a:blip r:embed="rId73"/>
                    <a:srcRect/>
                    <a:stretch>
                      <a:fillRect/>
                    </a:stretch>
                  </pic:blipFill>
                  <pic:spPr>
                    <a:xfrm>
                      <a:off x="0" y="0"/>
                      <a:ext cx="7052400" cy="3416300"/>
                    </a:xfrm>
                    <a:prstGeom prst="rect">
                      <a:avLst/>
                    </a:prstGeom>
                    <a:ln/>
                  </pic:spPr>
                </pic:pic>
              </a:graphicData>
            </a:graphic>
          </wp:inline>
        </w:drawing>
      </w:r>
    </w:p>
    <w:p w14:paraId="0E71A471" w14:textId="77777777" w:rsidR="00817C1B" w:rsidRDefault="00817C1B">
      <w:pPr>
        <w:jc w:val="center"/>
        <w:rPr>
          <w:sz w:val="18"/>
          <w:szCs w:val="18"/>
        </w:rPr>
      </w:pPr>
    </w:p>
    <w:p w14:paraId="38BE34E1" w14:textId="77777777" w:rsidR="00817C1B" w:rsidRDefault="00392EBA">
      <w:pPr>
        <w:jc w:val="center"/>
        <w:rPr>
          <w:sz w:val="18"/>
          <w:szCs w:val="18"/>
        </w:rPr>
      </w:pPr>
      <w:r>
        <w:rPr>
          <w:sz w:val="18"/>
          <w:szCs w:val="18"/>
        </w:rPr>
        <w:t>Chart 19d:  Density of Differences in Maximum Drawdowns - Compared to B&amp;H QQQ w/o Hedges - QQQ Yearly Change: -20% - -10%</w:t>
      </w:r>
    </w:p>
    <w:p w14:paraId="73FF6D8F" w14:textId="77777777" w:rsidR="00817C1B" w:rsidRDefault="00392EBA">
      <w:pPr>
        <w:jc w:val="center"/>
        <w:rPr>
          <w:sz w:val="18"/>
          <w:szCs w:val="18"/>
        </w:rPr>
      </w:pPr>
      <w:r>
        <w:rPr>
          <w:noProof/>
          <w:sz w:val="18"/>
          <w:szCs w:val="18"/>
        </w:rPr>
        <w:drawing>
          <wp:inline distT="114300" distB="114300" distL="114300" distR="114300" wp14:anchorId="26C8AD5F" wp14:editId="7BAFD02D">
            <wp:extent cx="7052400" cy="3416300"/>
            <wp:effectExtent l="0" t="0" r="0" b="0"/>
            <wp:docPr id="128" name="image121.jpg"/>
            <wp:cNvGraphicFramePr/>
            <a:graphic xmlns:a="http://schemas.openxmlformats.org/drawingml/2006/main">
              <a:graphicData uri="http://schemas.openxmlformats.org/drawingml/2006/picture">
                <pic:pic xmlns:pic="http://schemas.openxmlformats.org/drawingml/2006/picture">
                  <pic:nvPicPr>
                    <pic:cNvPr id="0" name="image121.jpg"/>
                    <pic:cNvPicPr preferRelativeResize="0"/>
                  </pic:nvPicPr>
                  <pic:blipFill>
                    <a:blip r:embed="rId74"/>
                    <a:srcRect/>
                    <a:stretch>
                      <a:fillRect/>
                    </a:stretch>
                  </pic:blipFill>
                  <pic:spPr>
                    <a:xfrm>
                      <a:off x="0" y="0"/>
                      <a:ext cx="7052400" cy="3416300"/>
                    </a:xfrm>
                    <a:prstGeom prst="rect">
                      <a:avLst/>
                    </a:prstGeom>
                    <a:ln/>
                  </pic:spPr>
                </pic:pic>
              </a:graphicData>
            </a:graphic>
          </wp:inline>
        </w:drawing>
      </w:r>
    </w:p>
    <w:p w14:paraId="291AEE47" w14:textId="77777777" w:rsidR="00817C1B" w:rsidRDefault="00392EBA">
      <w:pPr>
        <w:jc w:val="center"/>
        <w:rPr>
          <w:sz w:val="18"/>
          <w:szCs w:val="18"/>
        </w:rPr>
      </w:pPr>
      <w:r>
        <w:br w:type="page"/>
      </w:r>
    </w:p>
    <w:p w14:paraId="0933DFDB" w14:textId="77777777" w:rsidR="00817C1B" w:rsidRDefault="00392EBA">
      <w:pPr>
        <w:jc w:val="center"/>
        <w:rPr>
          <w:sz w:val="18"/>
          <w:szCs w:val="18"/>
        </w:rPr>
      </w:pPr>
      <w:r>
        <w:rPr>
          <w:sz w:val="18"/>
          <w:szCs w:val="18"/>
        </w:rPr>
        <w:lastRenderedPageBreak/>
        <w:t>Table 10b: Performance indicators</w:t>
      </w:r>
      <w:r>
        <w:rPr>
          <w:sz w:val="18"/>
          <w:szCs w:val="18"/>
        </w:rPr>
        <w:t xml:space="preserve"> of differences compared to B&amp;H QQQ w/o Hedges - QQQ Yearly Change: -20% - -10%</w:t>
      </w:r>
    </w:p>
    <w:p w14:paraId="261F81AB" w14:textId="77777777" w:rsidR="00817C1B" w:rsidRDefault="00392EBA">
      <w:pPr>
        <w:jc w:val="center"/>
        <w:rPr>
          <w:sz w:val="18"/>
          <w:szCs w:val="18"/>
        </w:rPr>
      </w:pPr>
      <w:r>
        <w:rPr>
          <w:noProof/>
          <w:sz w:val="18"/>
          <w:szCs w:val="18"/>
        </w:rPr>
        <w:drawing>
          <wp:inline distT="114300" distB="114300" distL="114300" distR="114300" wp14:anchorId="22D2572B" wp14:editId="7A66DA2B">
            <wp:extent cx="7052400" cy="2781300"/>
            <wp:effectExtent l="0" t="0" r="0" b="0"/>
            <wp:docPr id="15"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75"/>
                    <a:srcRect/>
                    <a:stretch>
                      <a:fillRect/>
                    </a:stretch>
                  </pic:blipFill>
                  <pic:spPr>
                    <a:xfrm>
                      <a:off x="0" y="0"/>
                      <a:ext cx="7052400" cy="2781300"/>
                    </a:xfrm>
                    <a:prstGeom prst="rect">
                      <a:avLst/>
                    </a:prstGeom>
                    <a:ln/>
                  </pic:spPr>
                </pic:pic>
              </a:graphicData>
            </a:graphic>
          </wp:inline>
        </w:drawing>
      </w:r>
      <w:r>
        <w:br w:type="page"/>
      </w:r>
    </w:p>
    <w:p w14:paraId="21BE3DF0" w14:textId="77777777" w:rsidR="00817C1B" w:rsidRDefault="00392EBA">
      <w:pPr>
        <w:jc w:val="both"/>
      </w:pPr>
      <w:r>
        <w:rPr>
          <w:rFonts w:ascii="Trebuchet MS" w:eastAsia="Trebuchet MS" w:hAnsi="Trebuchet MS" w:cs="Trebuchet MS"/>
          <w:b/>
          <w:color w:val="38761D"/>
          <w:sz w:val="24"/>
          <w:szCs w:val="24"/>
        </w:rPr>
        <w:lastRenderedPageBreak/>
        <w:t>QQQ Yearly Change: -10% - 0%</w:t>
      </w:r>
    </w:p>
    <w:p w14:paraId="1A5AD83D" w14:textId="77777777" w:rsidR="00817C1B" w:rsidRDefault="00817C1B">
      <w:pPr>
        <w:jc w:val="both"/>
      </w:pPr>
    </w:p>
    <w:p w14:paraId="2A264A8B" w14:textId="77777777" w:rsidR="00817C1B" w:rsidRDefault="00392EBA">
      <w:pPr>
        <w:jc w:val="both"/>
      </w:pPr>
      <w:r>
        <w:t xml:space="preserve">The third examined group is a </w:t>
      </w:r>
      <w:r>
        <w:rPr>
          <w:b/>
        </w:rPr>
        <w:t>slightly</w:t>
      </w:r>
      <w:r>
        <w:t xml:space="preserve"> </w:t>
      </w:r>
      <w:r>
        <w:rPr>
          <w:b/>
        </w:rPr>
        <w:t>bearish case</w:t>
      </w:r>
      <w:r>
        <w:t xml:space="preserve">: the </w:t>
      </w:r>
      <w:r>
        <w:rPr>
          <w:b/>
        </w:rPr>
        <w:t>yearly percentage change of QQQ is between -10% and 0%</w:t>
      </w:r>
      <w:r>
        <w:t xml:space="preserve">. </w:t>
      </w:r>
      <w:r>
        <w:rPr>
          <w:b/>
        </w:rPr>
        <w:t>Only 2018 was such a year from</w:t>
      </w:r>
      <w:r>
        <w:rPr>
          <w:b/>
        </w:rPr>
        <w:t xml:space="preserve"> 1999</w:t>
      </w:r>
      <w:r>
        <w:t xml:space="preserve">, so it seems a rare (~5%) case (Table 8). </w:t>
      </w:r>
    </w:p>
    <w:p w14:paraId="1A067AAF" w14:textId="77777777" w:rsidR="00817C1B" w:rsidRDefault="00817C1B">
      <w:pPr>
        <w:jc w:val="both"/>
      </w:pPr>
    </w:p>
    <w:p w14:paraId="059D4A4B" w14:textId="77777777" w:rsidR="00817C1B" w:rsidRDefault="00392EBA">
      <w:pPr>
        <w:jc w:val="both"/>
      </w:pPr>
      <w:r>
        <w:t>Chart 20a-d, Table 9c, Chart 21a-d and Table 10c show the density of performance indicators again. In this case, there are 5 subgroups based on the maximum drawdowns of ‘Pure QQQ’.</w:t>
      </w:r>
    </w:p>
    <w:p w14:paraId="7E37D3FE" w14:textId="77777777" w:rsidR="00817C1B" w:rsidRDefault="00817C1B">
      <w:pPr>
        <w:jc w:val="both"/>
      </w:pPr>
    </w:p>
    <w:p w14:paraId="3ECCB2AE" w14:textId="77777777" w:rsidR="00817C1B" w:rsidRDefault="00392EBA">
      <w:pPr>
        <w:jc w:val="both"/>
      </w:pPr>
      <w:r>
        <w:t>In this case,</w:t>
      </w:r>
      <w:r>
        <w:rPr>
          <w:b/>
        </w:rPr>
        <w:t xml:space="preserve"> there is n</w:t>
      </w:r>
      <w:r>
        <w:rPr>
          <w:b/>
        </w:rPr>
        <w:t>ot a clear winner again</w:t>
      </w:r>
      <w:r>
        <w:t xml:space="preserve">. There are </w:t>
      </w:r>
      <w:r>
        <w:rPr>
          <w:b/>
        </w:rPr>
        <w:t>lots of instances here when both QQQ and TLT go negative</w:t>
      </w:r>
      <w:r>
        <w:t xml:space="preserve"> (thus both part of ‘Bond hedge’ suffer losses), but in </w:t>
      </w:r>
      <w:r>
        <w:rPr>
          <w:b/>
        </w:rPr>
        <w:t>more than half of the cases the gain of long TLT part overperform the loss of long QQQ part</w:t>
      </w:r>
      <w:r>
        <w:t>. As the yearly ch</w:t>
      </w:r>
      <w:r>
        <w:t xml:space="preserve">ange of QQQ is negative, </w:t>
      </w:r>
      <w:r>
        <w:rPr>
          <w:b/>
        </w:rPr>
        <w:t xml:space="preserve">‘Put hedge’ part is still slightly better than ‘Pure QQQ’ </w:t>
      </w:r>
      <w:r>
        <w:t xml:space="preserve">(especially when MDD is high). In our opinion, </w:t>
      </w:r>
      <w:r>
        <w:rPr>
          <w:b/>
        </w:rPr>
        <w:t>the risk-reward profile of ‘Bond hedge’ and ‘Combined’ strategies are almost the same</w:t>
      </w:r>
      <w:r>
        <w:t xml:space="preserve">. Thus, our </w:t>
      </w:r>
      <w:r>
        <w:rPr>
          <w:b/>
        </w:rPr>
        <w:t>strategy rank</w:t>
      </w:r>
      <w:r>
        <w:t xml:space="preserve"> in this third case is the following: </w:t>
      </w:r>
      <w:r>
        <w:br/>
      </w:r>
      <w:r>
        <w:rPr>
          <w:b/>
        </w:rPr>
        <w:t>‘Combined’ ~ ‘Bond hedge’ &gt;&gt; ‘Put hedge’ &gt; ‘Pure QQQ’</w:t>
      </w:r>
      <w:r>
        <w:t>.</w:t>
      </w:r>
    </w:p>
    <w:p w14:paraId="4DEF9D58" w14:textId="77777777" w:rsidR="00817C1B" w:rsidRDefault="00817C1B">
      <w:pPr>
        <w:jc w:val="both"/>
      </w:pPr>
    </w:p>
    <w:p w14:paraId="7C741487" w14:textId="77777777" w:rsidR="00817C1B" w:rsidRDefault="00817C1B">
      <w:pPr>
        <w:jc w:val="both"/>
      </w:pPr>
    </w:p>
    <w:p w14:paraId="0C447DE6" w14:textId="77777777" w:rsidR="00817C1B" w:rsidRDefault="00392EBA">
      <w:pPr>
        <w:jc w:val="center"/>
        <w:rPr>
          <w:sz w:val="18"/>
          <w:szCs w:val="18"/>
        </w:rPr>
      </w:pPr>
      <w:r>
        <w:rPr>
          <w:sz w:val="18"/>
          <w:szCs w:val="18"/>
        </w:rPr>
        <w:t xml:space="preserve">Chart 20a:  Density of CAGRs - QQQ Yearly Change: </w:t>
      </w:r>
      <w:r>
        <w:rPr>
          <w:sz w:val="18"/>
          <w:szCs w:val="18"/>
        </w:rPr>
        <w:t>-10% - 0%</w:t>
      </w:r>
    </w:p>
    <w:p w14:paraId="3A9EA7F6" w14:textId="77777777" w:rsidR="00817C1B" w:rsidRDefault="00392EBA">
      <w:pPr>
        <w:jc w:val="center"/>
        <w:rPr>
          <w:sz w:val="18"/>
          <w:szCs w:val="18"/>
        </w:rPr>
      </w:pPr>
      <w:r>
        <w:rPr>
          <w:noProof/>
          <w:sz w:val="18"/>
          <w:szCs w:val="18"/>
        </w:rPr>
        <w:drawing>
          <wp:inline distT="114300" distB="114300" distL="114300" distR="114300" wp14:anchorId="56CCA3BF" wp14:editId="03B2C79B">
            <wp:extent cx="7052400" cy="3670300"/>
            <wp:effectExtent l="0" t="0" r="0" b="0"/>
            <wp:docPr id="23" name="image72.jpg"/>
            <wp:cNvGraphicFramePr/>
            <a:graphic xmlns:a="http://schemas.openxmlformats.org/drawingml/2006/main">
              <a:graphicData uri="http://schemas.openxmlformats.org/drawingml/2006/picture">
                <pic:pic xmlns:pic="http://schemas.openxmlformats.org/drawingml/2006/picture">
                  <pic:nvPicPr>
                    <pic:cNvPr id="0" name="image72.jpg"/>
                    <pic:cNvPicPr preferRelativeResize="0"/>
                  </pic:nvPicPr>
                  <pic:blipFill>
                    <a:blip r:embed="rId76"/>
                    <a:srcRect/>
                    <a:stretch>
                      <a:fillRect/>
                    </a:stretch>
                  </pic:blipFill>
                  <pic:spPr>
                    <a:xfrm>
                      <a:off x="0" y="0"/>
                      <a:ext cx="7052400" cy="3670300"/>
                    </a:xfrm>
                    <a:prstGeom prst="rect">
                      <a:avLst/>
                    </a:prstGeom>
                    <a:ln/>
                  </pic:spPr>
                </pic:pic>
              </a:graphicData>
            </a:graphic>
          </wp:inline>
        </w:drawing>
      </w:r>
    </w:p>
    <w:p w14:paraId="739E662D" w14:textId="77777777" w:rsidR="00817C1B" w:rsidRDefault="00392EBA">
      <w:pPr>
        <w:jc w:val="center"/>
        <w:rPr>
          <w:sz w:val="18"/>
          <w:szCs w:val="18"/>
        </w:rPr>
      </w:pPr>
      <w:r>
        <w:br w:type="page"/>
      </w:r>
    </w:p>
    <w:p w14:paraId="1EC2B613" w14:textId="77777777" w:rsidR="00817C1B" w:rsidRDefault="00392EBA">
      <w:pPr>
        <w:jc w:val="center"/>
        <w:rPr>
          <w:sz w:val="18"/>
          <w:szCs w:val="18"/>
        </w:rPr>
      </w:pPr>
      <w:r>
        <w:rPr>
          <w:sz w:val="18"/>
          <w:szCs w:val="18"/>
        </w:rPr>
        <w:lastRenderedPageBreak/>
        <w:t>Chart 20b:  Density of Sharpe Ratios - QQQ Yearly Change: -10% - 0%</w:t>
      </w:r>
    </w:p>
    <w:p w14:paraId="2ECFB5C5" w14:textId="77777777" w:rsidR="00817C1B" w:rsidRDefault="00392EBA">
      <w:pPr>
        <w:jc w:val="center"/>
        <w:rPr>
          <w:sz w:val="18"/>
          <w:szCs w:val="18"/>
        </w:rPr>
      </w:pPr>
      <w:r>
        <w:rPr>
          <w:noProof/>
          <w:sz w:val="18"/>
          <w:szCs w:val="18"/>
        </w:rPr>
        <w:drawing>
          <wp:inline distT="114300" distB="114300" distL="114300" distR="114300" wp14:anchorId="7CA04A64" wp14:editId="2C52CA4D">
            <wp:extent cx="7052400" cy="3670300"/>
            <wp:effectExtent l="0" t="0" r="0" b="0"/>
            <wp:docPr id="26" name="image22.jpg"/>
            <wp:cNvGraphicFramePr/>
            <a:graphic xmlns:a="http://schemas.openxmlformats.org/drawingml/2006/main">
              <a:graphicData uri="http://schemas.openxmlformats.org/drawingml/2006/picture">
                <pic:pic xmlns:pic="http://schemas.openxmlformats.org/drawingml/2006/picture">
                  <pic:nvPicPr>
                    <pic:cNvPr id="0" name="image22.jpg"/>
                    <pic:cNvPicPr preferRelativeResize="0"/>
                  </pic:nvPicPr>
                  <pic:blipFill>
                    <a:blip r:embed="rId77"/>
                    <a:srcRect/>
                    <a:stretch>
                      <a:fillRect/>
                    </a:stretch>
                  </pic:blipFill>
                  <pic:spPr>
                    <a:xfrm>
                      <a:off x="0" y="0"/>
                      <a:ext cx="7052400" cy="3670300"/>
                    </a:xfrm>
                    <a:prstGeom prst="rect">
                      <a:avLst/>
                    </a:prstGeom>
                    <a:ln/>
                  </pic:spPr>
                </pic:pic>
              </a:graphicData>
            </a:graphic>
          </wp:inline>
        </w:drawing>
      </w:r>
    </w:p>
    <w:p w14:paraId="717D0940" w14:textId="77777777" w:rsidR="00817C1B" w:rsidRDefault="00817C1B">
      <w:pPr>
        <w:jc w:val="center"/>
        <w:rPr>
          <w:sz w:val="18"/>
          <w:szCs w:val="18"/>
        </w:rPr>
      </w:pPr>
    </w:p>
    <w:p w14:paraId="64D8CF6A" w14:textId="77777777" w:rsidR="00817C1B" w:rsidRDefault="00392EBA">
      <w:pPr>
        <w:jc w:val="center"/>
        <w:rPr>
          <w:sz w:val="18"/>
          <w:szCs w:val="18"/>
        </w:rPr>
      </w:pPr>
      <w:r>
        <w:rPr>
          <w:sz w:val="18"/>
          <w:szCs w:val="18"/>
        </w:rPr>
        <w:t>Chart 20c:  Density of MAR Ratios - QQQ Yearly Change: -10% - 0%</w:t>
      </w:r>
    </w:p>
    <w:p w14:paraId="6C99F663" w14:textId="77777777" w:rsidR="00817C1B" w:rsidRDefault="00392EBA">
      <w:pPr>
        <w:jc w:val="center"/>
        <w:rPr>
          <w:sz w:val="18"/>
          <w:szCs w:val="18"/>
        </w:rPr>
      </w:pPr>
      <w:r>
        <w:rPr>
          <w:noProof/>
          <w:sz w:val="18"/>
          <w:szCs w:val="18"/>
        </w:rPr>
        <w:drawing>
          <wp:inline distT="114300" distB="114300" distL="114300" distR="114300" wp14:anchorId="7F27BC11" wp14:editId="3266DF0C">
            <wp:extent cx="7052400" cy="4051300"/>
            <wp:effectExtent l="0" t="0" r="0" b="0"/>
            <wp:docPr id="90" name="image88.jpg"/>
            <wp:cNvGraphicFramePr/>
            <a:graphic xmlns:a="http://schemas.openxmlformats.org/drawingml/2006/main">
              <a:graphicData uri="http://schemas.openxmlformats.org/drawingml/2006/picture">
                <pic:pic xmlns:pic="http://schemas.openxmlformats.org/drawingml/2006/picture">
                  <pic:nvPicPr>
                    <pic:cNvPr id="0" name="image88.jpg"/>
                    <pic:cNvPicPr preferRelativeResize="0"/>
                  </pic:nvPicPr>
                  <pic:blipFill>
                    <a:blip r:embed="rId78"/>
                    <a:srcRect/>
                    <a:stretch>
                      <a:fillRect/>
                    </a:stretch>
                  </pic:blipFill>
                  <pic:spPr>
                    <a:xfrm>
                      <a:off x="0" y="0"/>
                      <a:ext cx="7052400" cy="4051300"/>
                    </a:xfrm>
                    <a:prstGeom prst="rect">
                      <a:avLst/>
                    </a:prstGeom>
                    <a:ln/>
                  </pic:spPr>
                </pic:pic>
              </a:graphicData>
            </a:graphic>
          </wp:inline>
        </w:drawing>
      </w:r>
    </w:p>
    <w:p w14:paraId="698E2ED8" w14:textId="77777777" w:rsidR="00817C1B" w:rsidRDefault="00392EBA">
      <w:pPr>
        <w:jc w:val="center"/>
        <w:rPr>
          <w:sz w:val="18"/>
          <w:szCs w:val="18"/>
        </w:rPr>
      </w:pPr>
      <w:r>
        <w:br w:type="page"/>
      </w:r>
    </w:p>
    <w:p w14:paraId="0EA8107A" w14:textId="77777777" w:rsidR="00817C1B" w:rsidRDefault="00392EBA">
      <w:pPr>
        <w:jc w:val="center"/>
        <w:rPr>
          <w:sz w:val="18"/>
          <w:szCs w:val="18"/>
        </w:rPr>
      </w:pPr>
      <w:r>
        <w:rPr>
          <w:sz w:val="18"/>
          <w:szCs w:val="18"/>
        </w:rPr>
        <w:lastRenderedPageBreak/>
        <w:t>Chart 20d:  Density of Maximum Drawdowns - QQQ Yearly Change: -10% - 0%</w:t>
      </w:r>
    </w:p>
    <w:p w14:paraId="608CE366" w14:textId="77777777" w:rsidR="00817C1B" w:rsidRDefault="00392EBA">
      <w:pPr>
        <w:jc w:val="center"/>
        <w:rPr>
          <w:sz w:val="18"/>
          <w:szCs w:val="18"/>
        </w:rPr>
      </w:pPr>
      <w:r>
        <w:rPr>
          <w:noProof/>
          <w:sz w:val="18"/>
          <w:szCs w:val="18"/>
        </w:rPr>
        <w:drawing>
          <wp:inline distT="114300" distB="114300" distL="114300" distR="114300" wp14:anchorId="2F87A767" wp14:editId="022DDE4F">
            <wp:extent cx="7052400" cy="4051300"/>
            <wp:effectExtent l="0" t="0" r="0" b="0"/>
            <wp:docPr id="85" name="image81.jpg"/>
            <wp:cNvGraphicFramePr/>
            <a:graphic xmlns:a="http://schemas.openxmlformats.org/drawingml/2006/main">
              <a:graphicData uri="http://schemas.openxmlformats.org/drawingml/2006/picture">
                <pic:pic xmlns:pic="http://schemas.openxmlformats.org/drawingml/2006/picture">
                  <pic:nvPicPr>
                    <pic:cNvPr id="0" name="image81.jpg"/>
                    <pic:cNvPicPr preferRelativeResize="0"/>
                  </pic:nvPicPr>
                  <pic:blipFill>
                    <a:blip r:embed="rId79"/>
                    <a:srcRect/>
                    <a:stretch>
                      <a:fillRect/>
                    </a:stretch>
                  </pic:blipFill>
                  <pic:spPr>
                    <a:xfrm>
                      <a:off x="0" y="0"/>
                      <a:ext cx="7052400" cy="4051300"/>
                    </a:xfrm>
                    <a:prstGeom prst="rect">
                      <a:avLst/>
                    </a:prstGeom>
                    <a:ln/>
                  </pic:spPr>
                </pic:pic>
              </a:graphicData>
            </a:graphic>
          </wp:inline>
        </w:drawing>
      </w:r>
    </w:p>
    <w:p w14:paraId="17FC9A0C" w14:textId="77777777" w:rsidR="00817C1B" w:rsidRDefault="00817C1B">
      <w:pPr>
        <w:jc w:val="center"/>
        <w:rPr>
          <w:sz w:val="18"/>
          <w:szCs w:val="18"/>
        </w:rPr>
      </w:pPr>
    </w:p>
    <w:p w14:paraId="50AE779B" w14:textId="77777777" w:rsidR="00817C1B" w:rsidRDefault="00392EBA">
      <w:pPr>
        <w:jc w:val="center"/>
        <w:rPr>
          <w:sz w:val="18"/>
          <w:szCs w:val="18"/>
        </w:rPr>
      </w:pPr>
      <w:r>
        <w:rPr>
          <w:rFonts w:ascii="Arial Unicode MS" w:eastAsia="Arial Unicode MS" w:hAnsi="Arial Unicode MS" w:cs="Arial Unicode MS"/>
          <w:sz w:val="18"/>
          <w:szCs w:val="18"/>
        </w:rPr>
        <w:t xml:space="preserve">Table 8c: Years when QQQ Yearly Change: -10% - 0% </w:t>
      </w:r>
      <w:r>
        <w:rPr>
          <w:rFonts w:ascii="Arial Unicode MS" w:eastAsia="Arial Unicode MS" w:hAnsi="Arial Unicode MS" w:cs="Arial Unicode MS"/>
          <w:sz w:val="18"/>
          <w:szCs w:val="18"/>
        </w:rPr>
        <w:t>ー</w:t>
      </w:r>
      <w:r>
        <w:rPr>
          <w:rFonts w:ascii="Arial Unicode MS" w:eastAsia="Arial Unicode MS" w:hAnsi="Arial Unicode MS" w:cs="Arial Unicode MS"/>
          <w:sz w:val="18"/>
          <w:szCs w:val="18"/>
        </w:rPr>
        <w:t xml:space="preserve"> 1999-2019</w:t>
      </w:r>
    </w:p>
    <w:p w14:paraId="502F4675" w14:textId="77777777" w:rsidR="00817C1B" w:rsidRDefault="00392EBA">
      <w:pPr>
        <w:jc w:val="center"/>
        <w:rPr>
          <w:sz w:val="18"/>
          <w:szCs w:val="18"/>
        </w:rPr>
      </w:pPr>
      <w:r>
        <w:rPr>
          <w:noProof/>
          <w:sz w:val="18"/>
          <w:szCs w:val="18"/>
        </w:rPr>
        <w:drawing>
          <wp:inline distT="114300" distB="114300" distL="114300" distR="114300" wp14:anchorId="34B61F8B" wp14:editId="49E4DCBB">
            <wp:extent cx="1838325" cy="390525"/>
            <wp:effectExtent l="0" t="0" r="0" b="0"/>
            <wp:docPr id="50" name="image45.png"/>
            <wp:cNvGraphicFramePr/>
            <a:graphic xmlns:a="http://schemas.openxmlformats.org/drawingml/2006/main">
              <a:graphicData uri="http://schemas.openxmlformats.org/drawingml/2006/picture">
                <pic:pic xmlns:pic="http://schemas.openxmlformats.org/drawingml/2006/picture">
                  <pic:nvPicPr>
                    <pic:cNvPr id="0" name="image45.png"/>
                    <pic:cNvPicPr preferRelativeResize="0"/>
                  </pic:nvPicPr>
                  <pic:blipFill>
                    <a:blip r:embed="rId80"/>
                    <a:srcRect/>
                    <a:stretch>
                      <a:fillRect/>
                    </a:stretch>
                  </pic:blipFill>
                  <pic:spPr>
                    <a:xfrm>
                      <a:off x="0" y="0"/>
                      <a:ext cx="1838325" cy="390525"/>
                    </a:xfrm>
                    <a:prstGeom prst="rect">
                      <a:avLst/>
                    </a:prstGeom>
                    <a:ln/>
                  </pic:spPr>
                </pic:pic>
              </a:graphicData>
            </a:graphic>
          </wp:inline>
        </w:drawing>
      </w:r>
    </w:p>
    <w:p w14:paraId="40AEC57B" w14:textId="77777777" w:rsidR="00817C1B" w:rsidRDefault="00817C1B">
      <w:pPr>
        <w:jc w:val="center"/>
        <w:rPr>
          <w:sz w:val="18"/>
          <w:szCs w:val="18"/>
        </w:rPr>
      </w:pPr>
    </w:p>
    <w:p w14:paraId="0BDAC465" w14:textId="77777777" w:rsidR="00817C1B" w:rsidRDefault="00817C1B">
      <w:pPr>
        <w:jc w:val="center"/>
        <w:rPr>
          <w:sz w:val="18"/>
          <w:szCs w:val="18"/>
        </w:rPr>
      </w:pPr>
    </w:p>
    <w:p w14:paraId="62AD1FD2" w14:textId="77777777" w:rsidR="00817C1B" w:rsidRDefault="00392EBA">
      <w:pPr>
        <w:jc w:val="center"/>
        <w:rPr>
          <w:sz w:val="18"/>
          <w:szCs w:val="18"/>
        </w:rPr>
      </w:pPr>
      <w:r>
        <w:rPr>
          <w:sz w:val="18"/>
          <w:szCs w:val="18"/>
        </w:rPr>
        <w:t>Table 9c: Performance indicators of different strategies - QQQ Yearly Change: -10% - 0%</w:t>
      </w:r>
    </w:p>
    <w:p w14:paraId="26AA9FEB" w14:textId="77777777" w:rsidR="00817C1B" w:rsidRDefault="00392EBA">
      <w:pPr>
        <w:jc w:val="center"/>
        <w:rPr>
          <w:sz w:val="18"/>
          <w:szCs w:val="18"/>
        </w:rPr>
      </w:pPr>
      <w:r>
        <w:rPr>
          <w:noProof/>
          <w:sz w:val="18"/>
          <w:szCs w:val="18"/>
        </w:rPr>
        <w:drawing>
          <wp:inline distT="114300" distB="114300" distL="114300" distR="114300" wp14:anchorId="6BF4DC7B" wp14:editId="2BBB3FC3">
            <wp:extent cx="7052400" cy="3124200"/>
            <wp:effectExtent l="0" t="0" r="0" b="0"/>
            <wp:docPr id="145" name="image142.png"/>
            <wp:cNvGraphicFramePr/>
            <a:graphic xmlns:a="http://schemas.openxmlformats.org/drawingml/2006/main">
              <a:graphicData uri="http://schemas.openxmlformats.org/drawingml/2006/picture">
                <pic:pic xmlns:pic="http://schemas.openxmlformats.org/drawingml/2006/picture">
                  <pic:nvPicPr>
                    <pic:cNvPr id="0" name="image142.png"/>
                    <pic:cNvPicPr preferRelativeResize="0"/>
                  </pic:nvPicPr>
                  <pic:blipFill>
                    <a:blip r:embed="rId81"/>
                    <a:srcRect/>
                    <a:stretch>
                      <a:fillRect/>
                    </a:stretch>
                  </pic:blipFill>
                  <pic:spPr>
                    <a:xfrm>
                      <a:off x="0" y="0"/>
                      <a:ext cx="7052400" cy="3124200"/>
                    </a:xfrm>
                    <a:prstGeom prst="rect">
                      <a:avLst/>
                    </a:prstGeom>
                    <a:ln/>
                  </pic:spPr>
                </pic:pic>
              </a:graphicData>
            </a:graphic>
          </wp:inline>
        </w:drawing>
      </w:r>
    </w:p>
    <w:p w14:paraId="7AC5D209" w14:textId="77777777" w:rsidR="00817C1B" w:rsidRDefault="00817C1B">
      <w:pPr>
        <w:jc w:val="center"/>
        <w:rPr>
          <w:sz w:val="18"/>
          <w:szCs w:val="18"/>
        </w:rPr>
      </w:pPr>
    </w:p>
    <w:p w14:paraId="1217910B" w14:textId="77777777" w:rsidR="00817C1B" w:rsidRDefault="00392EBA">
      <w:pPr>
        <w:jc w:val="center"/>
        <w:rPr>
          <w:sz w:val="18"/>
          <w:szCs w:val="18"/>
        </w:rPr>
      </w:pPr>
      <w:r>
        <w:br w:type="page"/>
      </w:r>
    </w:p>
    <w:p w14:paraId="2D240A85" w14:textId="77777777" w:rsidR="00817C1B" w:rsidRDefault="00392EBA">
      <w:pPr>
        <w:jc w:val="center"/>
        <w:rPr>
          <w:sz w:val="18"/>
          <w:szCs w:val="18"/>
        </w:rPr>
      </w:pPr>
      <w:r>
        <w:rPr>
          <w:sz w:val="18"/>
          <w:szCs w:val="18"/>
        </w:rPr>
        <w:lastRenderedPageBreak/>
        <w:t>Chart 21a:  Density of</w:t>
      </w:r>
      <w:r>
        <w:rPr>
          <w:sz w:val="18"/>
          <w:szCs w:val="18"/>
        </w:rPr>
        <w:t xml:space="preserve"> Differences in CAGRs - Compared to B&amp;H QQQ w/o Hedges - QQQ Yearly Change: -10% - 0%</w:t>
      </w:r>
    </w:p>
    <w:p w14:paraId="5AB45AA5" w14:textId="77777777" w:rsidR="00817C1B" w:rsidRDefault="00392EBA">
      <w:pPr>
        <w:jc w:val="center"/>
        <w:rPr>
          <w:sz w:val="18"/>
          <w:szCs w:val="18"/>
        </w:rPr>
      </w:pPr>
      <w:r>
        <w:rPr>
          <w:noProof/>
          <w:sz w:val="18"/>
          <w:szCs w:val="18"/>
        </w:rPr>
        <w:drawing>
          <wp:inline distT="114300" distB="114300" distL="114300" distR="114300" wp14:anchorId="4989F707" wp14:editId="4CD6A38E">
            <wp:extent cx="7052400" cy="3302000"/>
            <wp:effectExtent l="0" t="0" r="0" b="0"/>
            <wp:docPr id="123" name="image116.jpg"/>
            <wp:cNvGraphicFramePr/>
            <a:graphic xmlns:a="http://schemas.openxmlformats.org/drawingml/2006/main">
              <a:graphicData uri="http://schemas.openxmlformats.org/drawingml/2006/picture">
                <pic:pic xmlns:pic="http://schemas.openxmlformats.org/drawingml/2006/picture">
                  <pic:nvPicPr>
                    <pic:cNvPr id="0" name="image116.jpg"/>
                    <pic:cNvPicPr preferRelativeResize="0"/>
                  </pic:nvPicPr>
                  <pic:blipFill>
                    <a:blip r:embed="rId82"/>
                    <a:srcRect/>
                    <a:stretch>
                      <a:fillRect/>
                    </a:stretch>
                  </pic:blipFill>
                  <pic:spPr>
                    <a:xfrm>
                      <a:off x="0" y="0"/>
                      <a:ext cx="7052400" cy="3302000"/>
                    </a:xfrm>
                    <a:prstGeom prst="rect">
                      <a:avLst/>
                    </a:prstGeom>
                    <a:ln/>
                  </pic:spPr>
                </pic:pic>
              </a:graphicData>
            </a:graphic>
          </wp:inline>
        </w:drawing>
      </w:r>
    </w:p>
    <w:p w14:paraId="54064CF9" w14:textId="77777777" w:rsidR="00817C1B" w:rsidRDefault="00817C1B">
      <w:pPr>
        <w:jc w:val="center"/>
        <w:rPr>
          <w:sz w:val="18"/>
          <w:szCs w:val="18"/>
        </w:rPr>
      </w:pPr>
    </w:p>
    <w:p w14:paraId="10C3CEEA" w14:textId="77777777" w:rsidR="00817C1B" w:rsidRDefault="00817C1B">
      <w:pPr>
        <w:jc w:val="center"/>
        <w:rPr>
          <w:sz w:val="18"/>
          <w:szCs w:val="18"/>
        </w:rPr>
      </w:pPr>
    </w:p>
    <w:p w14:paraId="42E5B469" w14:textId="77777777" w:rsidR="00817C1B" w:rsidRDefault="00392EBA">
      <w:pPr>
        <w:jc w:val="center"/>
        <w:rPr>
          <w:sz w:val="18"/>
          <w:szCs w:val="18"/>
        </w:rPr>
      </w:pPr>
      <w:r>
        <w:rPr>
          <w:sz w:val="18"/>
          <w:szCs w:val="18"/>
        </w:rPr>
        <w:t>Chart 21b:  Density of Differences in Sharpe Ratios - Compared to B&amp;H QQQ w/o Hedges - QQQ Yearly Change: -10% - 0%</w:t>
      </w:r>
    </w:p>
    <w:p w14:paraId="0146EBFA" w14:textId="77777777" w:rsidR="00817C1B" w:rsidRDefault="00392EBA">
      <w:pPr>
        <w:jc w:val="center"/>
        <w:rPr>
          <w:sz w:val="18"/>
          <w:szCs w:val="18"/>
        </w:rPr>
      </w:pPr>
      <w:r>
        <w:rPr>
          <w:noProof/>
          <w:sz w:val="18"/>
          <w:szCs w:val="18"/>
        </w:rPr>
        <w:drawing>
          <wp:inline distT="114300" distB="114300" distL="114300" distR="114300" wp14:anchorId="614D5A85" wp14:editId="6F969BA5">
            <wp:extent cx="7052400" cy="3416300"/>
            <wp:effectExtent l="0" t="0" r="0" b="0"/>
            <wp:docPr id="111" name="image110.jpg"/>
            <wp:cNvGraphicFramePr/>
            <a:graphic xmlns:a="http://schemas.openxmlformats.org/drawingml/2006/main">
              <a:graphicData uri="http://schemas.openxmlformats.org/drawingml/2006/picture">
                <pic:pic xmlns:pic="http://schemas.openxmlformats.org/drawingml/2006/picture">
                  <pic:nvPicPr>
                    <pic:cNvPr id="0" name="image110.jpg"/>
                    <pic:cNvPicPr preferRelativeResize="0"/>
                  </pic:nvPicPr>
                  <pic:blipFill>
                    <a:blip r:embed="rId83"/>
                    <a:srcRect/>
                    <a:stretch>
                      <a:fillRect/>
                    </a:stretch>
                  </pic:blipFill>
                  <pic:spPr>
                    <a:xfrm>
                      <a:off x="0" y="0"/>
                      <a:ext cx="7052400" cy="3416300"/>
                    </a:xfrm>
                    <a:prstGeom prst="rect">
                      <a:avLst/>
                    </a:prstGeom>
                    <a:ln/>
                  </pic:spPr>
                </pic:pic>
              </a:graphicData>
            </a:graphic>
          </wp:inline>
        </w:drawing>
      </w:r>
    </w:p>
    <w:p w14:paraId="18D78268" w14:textId="77777777" w:rsidR="00817C1B" w:rsidRDefault="00817C1B">
      <w:pPr>
        <w:jc w:val="center"/>
        <w:rPr>
          <w:sz w:val="18"/>
          <w:szCs w:val="18"/>
        </w:rPr>
      </w:pPr>
    </w:p>
    <w:p w14:paraId="1EB2862F" w14:textId="77777777" w:rsidR="00817C1B" w:rsidRDefault="00392EBA">
      <w:pPr>
        <w:jc w:val="center"/>
        <w:rPr>
          <w:sz w:val="18"/>
          <w:szCs w:val="18"/>
        </w:rPr>
      </w:pPr>
      <w:r>
        <w:br w:type="page"/>
      </w:r>
    </w:p>
    <w:p w14:paraId="41D2731B" w14:textId="77777777" w:rsidR="00817C1B" w:rsidRDefault="00392EBA">
      <w:pPr>
        <w:jc w:val="center"/>
        <w:rPr>
          <w:sz w:val="18"/>
          <w:szCs w:val="18"/>
        </w:rPr>
      </w:pPr>
      <w:r>
        <w:rPr>
          <w:sz w:val="18"/>
          <w:szCs w:val="18"/>
        </w:rPr>
        <w:lastRenderedPageBreak/>
        <w:t>Chart 21c:  Density of Differences in MAR Rat</w:t>
      </w:r>
      <w:r>
        <w:rPr>
          <w:sz w:val="18"/>
          <w:szCs w:val="18"/>
        </w:rPr>
        <w:t>ios - Compared to B&amp;H QQQ w/o Hedges - QQQ Yearly Change: -10% - 0%</w:t>
      </w:r>
    </w:p>
    <w:p w14:paraId="4196B394" w14:textId="77777777" w:rsidR="00817C1B" w:rsidRDefault="00392EBA">
      <w:pPr>
        <w:jc w:val="center"/>
        <w:rPr>
          <w:sz w:val="18"/>
          <w:szCs w:val="18"/>
        </w:rPr>
      </w:pPr>
      <w:r>
        <w:rPr>
          <w:noProof/>
          <w:sz w:val="18"/>
          <w:szCs w:val="18"/>
        </w:rPr>
        <w:drawing>
          <wp:inline distT="114300" distB="114300" distL="114300" distR="114300" wp14:anchorId="7FDE0864" wp14:editId="03F4E37C">
            <wp:extent cx="7052400" cy="3416300"/>
            <wp:effectExtent l="0" t="0" r="0" b="0"/>
            <wp:docPr id="25" name="image21.jpg"/>
            <wp:cNvGraphicFramePr/>
            <a:graphic xmlns:a="http://schemas.openxmlformats.org/drawingml/2006/main">
              <a:graphicData uri="http://schemas.openxmlformats.org/drawingml/2006/picture">
                <pic:pic xmlns:pic="http://schemas.openxmlformats.org/drawingml/2006/picture">
                  <pic:nvPicPr>
                    <pic:cNvPr id="0" name="image21.jpg"/>
                    <pic:cNvPicPr preferRelativeResize="0"/>
                  </pic:nvPicPr>
                  <pic:blipFill>
                    <a:blip r:embed="rId84"/>
                    <a:srcRect/>
                    <a:stretch>
                      <a:fillRect/>
                    </a:stretch>
                  </pic:blipFill>
                  <pic:spPr>
                    <a:xfrm>
                      <a:off x="0" y="0"/>
                      <a:ext cx="7052400" cy="3416300"/>
                    </a:xfrm>
                    <a:prstGeom prst="rect">
                      <a:avLst/>
                    </a:prstGeom>
                    <a:ln/>
                  </pic:spPr>
                </pic:pic>
              </a:graphicData>
            </a:graphic>
          </wp:inline>
        </w:drawing>
      </w:r>
    </w:p>
    <w:p w14:paraId="4D7411FA" w14:textId="77777777" w:rsidR="00817C1B" w:rsidRDefault="00817C1B">
      <w:pPr>
        <w:jc w:val="center"/>
        <w:rPr>
          <w:sz w:val="18"/>
          <w:szCs w:val="18"/>
        </w:rPr>
      </w:pPr>
    </w:p>
    <w:p w14:paraId="78E27C28" w14:textId="77777777" w:rsidR="00817C1B" w:rsidRDefault="00392EBA">
      <w:pPr>
        <w:jc w:val="center"/>
        <w:rPr>
          <w:sz w:val="18"/>
          <w:szCs w:val="18"/>
        </w:rPr>
      </w:pPr>
      <w:r>
        <w:rPr>
          <w:sz w:val="18"/>
          <w:szCs w:val="18"/>
        </w:rPr>
        <w:t>Chart 21d:  Density of Differences in Maximum Drawdowns - Compared to B&amp;H QQQ w/o Hedges - QQQ Yearly Change: -10% - 0%</w:t>
      </w:r>
    </w:p>
    <w:p w14:paraId="23C210A8" w14:textId="77777777" w:rsidR="00817C1B" w:rsidRDefault="00392EBA">
      <w:pPr>
        <w:jc w:val="center"/>
        <w:rPr>
          <w:sz w:val="18"/>
          <w:szCs w:val="18"/>
        </w:rPr>
      </w:pPr>
      <w:r>
        <w:rPr>
          <w:noProof/>
          <w:sz w:val="18"/>
          <w:szCs w:val="18"/>
        </w:rPr>
        <w:drawing>
          <wp:inline distT="114300" distB="114300" distL="114300" distR="114300" wp14:anchorId="64C7C8F6" wp14:editId="5F75790E">
            <wp:extent cx="7052400" cy="3416300"/>
            <wp:effectExtent l="0" t="0" r="0" b="0"/>
            <wp:docPr id="112" name="image111.jpg"/>
            <wp:cNvGraphicFramePr/>
            <a:graphic xmlns:a="http://schemas.openxmlformats.org/drawingml/2006/main">
              <a:graphicData uri="http://schemas.openxmlformats.org/drawingml/2006/picture">
                <pic:pic xmlns:pic="http://schemas.openxmlformats.org/drawingml/2006/picture">
                  <pic:nvPicPr>
                    <pic:cNvPr id="0" name="image111.jpg"/>
                    <pic:cNvPicPr preferRelativeResize="0"/>
                  </pic:nvPicPr>
                  <pic:blipFill>
                    <a:blip r:embed="rId85"/>
                    <a:srcRect/>
                    <a:stretch>
                      <a:fillRect/>
                    </a:stretch>
                  </pic:blipFill>
                  <pic:spPr>
                    <a:xfrm>
                      <a:off x="0" y="0"/>
                      <a:ext cx="7052400" cy="3416300"/>
                    </a:xfrm>
                    <a:prstGeom prst="rect">
                      <a:avLst/>
                    </a:prstGeom>
                    <a:ln/>
                  </pic:spPr>
                </pic:pic>
              </a:graphicData>
            </a:graphic>
          </wp:inline>
        </w:drawing>
      </w:r>
    </w:p>
    <w:p w14:paraId="6705B5E6" w14:textId="77777777" w:rsidR="00817C1B" w:rsidRDefault="00392EBA">
      <w:pPr>
        <w:jc w:val="center"/>
        <w:rPr>
          <w:sz w:val="18"/>
          <w:szCs w:val="18"/>
        </w:rPr>
      </w:pPr>
      <w:r>
        <w:br w:type="page"/>
      </w:r>
    </w:p>
    <w:p w14:paraId="61203396" w14:textId="77777777" w:rsidR="00817C1B" w:rsidRDefault="00392EBA">
      <w:pPr>
        <w:jc w:val="center"/>
        <w:rPr>
          <w:sz w:val="18"/>
          <w:szCs w:val="18"/>
        </w:rPr>
      </w:pPr>
      <w:r>
        <w:rPr>
          <w:sz w:val="18"/>
          <w:szCs w:val="18"/>
        </w:rPr>
        <w:lastRenderedPageBreak/>
        <w:t>Table 10c: Performance indicators of differences compared to B&amp;H QQQ w/o Hedges - QQQ Yearly Change: -10% - 0%</w:t>
      </w:r>
    </w:p>
    <w:p w14:paraId="2B67E513" w14:textId="77777777" w:rsidR="00817C1B" w:rsidRDefault="00392EBA">
      <w:pPr>
        <w:jc w:val="center"/>
        <w:rPr>
          <w:sz w:val="18"/>
          <w:szCs w:val="18"/>
        </w:rPr>
      </w:pPr>
      <w:r>
        <w:rPr>
          <w:noProof/>
          <w:sz w:val="18"/>
          <w:szCs w:val="18"/>
        </w:rPr>
        <w:drawing>
          <wp:inline distT="114300" distB="114300" distL="114300" distR="114300" wp14:anchorId="38B1F94F" wp14:editId="1EB622C5">
            <wp:extent cx="7052400" cy="4025900"/>
            <wp:effectExtent l="0" t="0" r="0" b="0"/>
            <wp:docPr id="93" name="image90.png"/>
            <wp:cNvGraphicFramePr/>
            <a:graphic xmlns:a="http://schemas.openxmlformats.org/drawingml/2006/main">
              <a:graphicData uri="http://schemas.openxmlformats.org/drawingml/2006/picture">
                <pic:pic xmlns:pic="http://schemas.openxmlformats.org/drawingml/2006/picture">
                  <pic:nvPicPr>
                    <pic:cNvPr id="0" name="image90.png"/>
                    <pic:cNvPicPr preferRelativeResize="0"/>
                  </pic:nvPicPr>
                  <pic:blipFill>
                    <a:blip r:embed="rId86"/>
                    <a:srcRect/>
                    <a:stretch>
                      <a:fillRect/>
                    </a:stretch>
                  </pic:blipFill>
                  <pic:spPr>
                    <a:xfrm>
                      <a:off x="0" y="0"/>
                      <a:ext cx="7052400" cy="4025900"/>
                    </a:xfrm>
                    <a:prstGeom prst="rect">
                      <a:avLst/>
                    </a:prstGeom>
                    <a:ln/>
                  </pic:spPr>
                </pic:pic>
              </a:graphicData>
            </a:graphic>
          </wp:inline>
        </w:drawing>
      </w:r>
      <w:r>
        <w:br w:type="page"/>
      </w:r>
    </w:p>
    <w:p w14:paraId="4BCBCCBD" w14:textId="77777777" w:rsidR="00817C1B" w:rsidRDefault="00392EBA">
      <w:pPr>
        <w:jc w:val="both"/>
      </w:pPr>
      <w:r>
        <w:rPr>
          <w:rFonts w:ascii="Trebuchet MS" w:eastAsia="Trebuchet MS" w:hAnsi="Trebuchet MS" w:cs="Trebuchet MS"/>
          <w:b/>
          <w:color w:val="38761D"/>
          <w:sz w:val="24"/>
          <w:szCs w:val="24"/>
        </w:rPr>
        <w:lastRenderedPageBreak/>
        <w:t>QQQ Yearly Change: 0% - +10%</w:t>
      </w:r>
    </w:p>
    <w:p w14:paraId="647A4965" w14:textId="77777777" w:rsidR="00817C1B" w:rsidRDefault="00817C1B">
      <w:pPr>
        <w:jc w:val="both"/>
      </w:pPr>
    </w:p>
    <w:p w14:paraId="425EA69F" w14:textId="77777777" w:rsidR="00817C1B" w:rsidRDefault="00392EBA">
      <w:pPr>
        <w:jc w:val="both"/>
      </w:pPr>
      <w:r>
        <w:t xml:space="preserve">The fourth examined group is a </w:t>
      </w:r>
      <w:r>
        <w:rPr>
          <w:b/>
        </w:rPr>
        <w:t>slightly</w:t>
      </w:r>
      <w:r>
        <w:t xml:space="preserve"> </w:t>
      </w:r>
      <w:r>
        <w:rPr>
          <w:b/>
        </w:rPr>
        <w:t>bullish (or sideways) case</w:t>
      </w:r>
      <w:r>
        <w:t xml:space="preserve">: the </w:t>
      </w:r>
      <w:r>
        <w:rPr>
          <w:b/>
        </w:rPr>
        <w:t>yearly percentage change of QQQ is betwe</w:t>
      </w:r>
      <w:r>
        <w:rPr>
          <w:b/>
        </w:rPr>
        <w:t>en 0% and +10%</w:t>
      </w:r>
      <w:r>
        <w:t xml:space="preserve">. </w:t>
      </w:r>
      <w:r>
        <w:rPr>
          <w:b/>
        </w:rPr>
        <w:t>2005, 2006, 2011, 2015 and 2016 were such years from 1999</w:t>
      </w:r>
      <w:r>
        <w:t xml:space="preserve">, i.e. almost 25% of years (Table 8). </w:t>
      </w:r>
    </w:p>
    <w:p w14:paraId="442AF010" w14:textId="77777777" w:rsidR="00817C1B" w:rsidRDefault="00817C1B">
      <w:pPr>
        <w:jc w:val="both"/>
      </w:pPr>
    </w:p>
    <w:p w14:paraId="3E486889" w14:textId="77777777" w:rsidR="00817C1B" w:rsidRDefault="00392EBA">
      <w:pPr>
        <w:jc w:val="both"/>
      </w:pPr>
      <w:r>
        <w:t>Chart 22a-d, Table 9d, Chart 23a-d and Table 10d show the density of performance indicators again. In this case, there are 6 subgroups based on the maximum drawdowns of ‘Pure QQQ’. Sharpe ratios and MAR ratios are mostly positive, thus they density shape c</w:t>
      </w:r>
      <w:r>
        <w:t>an be used to compare strategies.</w:t>
      </w:r>
    </w:p>
    <w:p w14:paraId="7ADF179F" w14:textId="77777777" w:rsidR="00817C1B" w:rsidRDefault="00817C1B">
      <w:pPr>
        <w:jc w:val="both"/>
      </w:pPr>
    </w:p>
    <w:p w14:paraId="5B9A3661" w14:textId="77777777" w:rsidR="00817C1B" w:rsidRDefault="00392EBA">
      <w:pPr>
        <w:jc w:val="both"/>
      </w:pPr>
      <w:r>
        <w:t xml:space="preserve">It can be clearly seen that </w:t>
      </w:r>
      <w:r>
        <w:rPr>
          <w:b/>
        </w:rPr>
        <w:t>the put option part (‘Put hedge’ and in ‘Combined) is not profitable in this sideways/slightly bullish case, except when there are bearish periods during the simulated period (a year), i.e. whe</w:t>
      </w:r>
      <w:r>
        <w:rPr>
          <w:b/>
        </w:rPr>
        <w:t>n maximum drawdown is significant. That is, neither ‘Bond hedge’ nor ‘Combined’ strategy can be called an undoubtedly better choice.</w:t>
      </w:r>
      <w:r>
        <w:t xml:space="preserve"> Thus, our </w:t>
      </w:r>
      <w:r>
        <w:rPr>
          <w:b/>
        </w:rPr>
        <w:t>strategy rank</w:t>
      </w:r>
      <w:r>
        <w:t xml:space="preserve"> in this fourth case is the following: </w:t>
      </w:r>
      <w:r>
        <w:br/>
      </w:r>
      <w:r>
        <w:rPr>
          <w:b/>
        </w:rPr>
        <w:t>‘Combined’ ~ ‘Bond hedge’ &gt;&gt; ‘Put hedge’ ~ ‘Pure QQQ’</w:t>
      </w:r>
      <w:r>
        <w:t>.</w:t>
      </w:r>
    </w:p>
    <w:p w14:paraId="46251EC0" w14:textId="77777777" w:rsidR="00817C1B" w:rsidRDefault="00817C1B">
      <w:pPr>
        <w:jc w:val="both"/>
      </w:pPr>
    </w:p>
    <w:p w14:paraId="19197ABA" w14:textId="77777777" w:rsidR="00817C1B" w:rsidRDefault="00392EBA">
      <w:pPr>
        <w:jc w:val="both"/>
      </w:pPr>
      <w:r>
        <w:t>It i</w:t>
      </w:r>
      <w:r>
        <w:t xml:space="preserve">s worth noting that </w:t>
      </w:r>
      <w:r>
        <w:rPr>
          <w:b/>
        </w:rPr>
        <w:t>the maximum drawdowns in the above mentioned 5 years were not too high, thus the strategies without put option part would have performed better in those years</w:t>
      </w:r>
      <w:r>
        <w:t>.</w:t>
      </w:r>
    </w:p>
    <w:p w14:paraId="0185F649" w14:textId="77777777" w:rsidR="00817C1B" w:rsidRDefault="00817C1B">
      <w:pPr>
        <w:jc w:val="center"/>
        <w:rPr>
          <w:sz w:val="18"/>
          <w:szCs w:val="18"/>
        </w:rPr>
      </w:pPr>
    </w:p>
    <w:p w14:paraId="0B45F14A" w14:textId="77777777" w:rsidR="00817C1B" w:rsidRDefault="00817C1B">
      <w:pPr>
        <w:jc w:val="center"/>
        <w:rPr>
          <w:sz w:val="18"/>
          <w:szCs w:val="18"/>
        </w:rPr>
      </w:pPr>
    </w:p>
    <w:p w14:paraId="15466227" w14:textId="77777777" w:rsidR="00817C1B" w:rsidRDefault="00392EBA">
      <w:pPr>
        <w:jc w:val="center"/>
        <w:rPr>
          <w:sz w:val="18"/>
          <w:szCs w:val="18"/>
        </w:rPr>
      </w:pPr>
      <w:r>
        <w:rPr>
          <w:sz w:val="18"/>
          <w:szCs w:val="18"/>
        </w:rPr>
        <w:t>Chart 22a:  Density of CAGRs - QQQ Yearly Change: 0% - +10%</w:t>
      </w:r>
    </w:p>
    <w:p w14:paraId="48302EF9" w14:textId="77777777" w:rsidR="00817C1B" w:rsidRDefault="00392EBA">
      <w:pPr>
        <w:jc w:val="center"/>
        <w:rPr>
          <w:sz w:val="18"/>
          <w:szCs w:val="18"/>
        </w:rPr>
      </w:pPr>
      <w:r>
        <w:rPr>
          <w:noProof/>
          <w:sz w:val="18"/>
          <w:szCs w:val="18"/>
        </w:rPr>
        <w:drawing>
          <wp:inline distT="114300" distB="114300" distL="114300" distR="114300" wp14:anchorId="4C609597" wp14:editId="30579A46">
            <wp:extent cx="7052400" cy="3670300"/>
            <wp:effectExtent l="0" t="0" r="0" b="0"/>
            <wp:docPr id="60" name="image63.jpg"/>
            <wp:cNvGraphicFramePr/>
            <a:graphic xmlns:a="http://schemas.openxmlformats.org/drawingml/2006/main">
              <a:graphicData uri="http://schemas.openxmlformats.org/drawingml/2006/picture">
                <pic:pic xmlns:pic="http://schemas.openxmlformats.org/drawingml/2006/picture">
                  <pic:nvPicPr>
                    <pic:cNvPr id="0" name="image63.jpg"/>
                    <pic:cNvPicPr preferRelativeResize="0"/>
                  </pic:nvPicPr>
                  <pic:blipFill>
                    <a:blip r:embed="rId87"/>
                    <a:srcRect/>
                    <a:stretch>
                      <a:fillRect/>
                    </a:stretch>
                  </pic:blipFill>
                  <pic:spPr>
                    <a:xfrm>
                      <a:off x="0" y="0"/>
                      <a:ext cx="7052400" cy="3670300"/>
                    </a:xfrm>
                    <a:prstGeom prst="rect">
                      <a:avLst/>
                    </a:prstGeom>
                    <a:ln/>
                  </pic:spPr>
                </pic:pic>
              </a:graphicData>
            </a:graphic>
          </wp:inline>
        </w:drawing>
      </w:r>
    </w:p>
    <w:p w14:paraId="7B86DC82" w14:textId="77777777" w:rsidR="00817C1B" w:rsidRDefault="00392EBA">
      <w:pPr>
        <w:jc w:val="center"/>
        <w:rPr>
          <w:sz w:val="18"/>
          <w:szCs w:val="18"/>
        </w:rPr>
      </w:pPr>
      <w:r>
        <w:br w:type="page"/>
      </w:r>
    </w:p>
    <w:p w14:paraId="7FC66BD9" w14:textId="77777777" w:rsidR="00817C1B" w:rsidRDefault="00392EBA">
      <w:pPr>
        <w:jc w:val="center"/>
        <w:rPr>
          <w:sz w:val="18"/>
          <w:szCs w:val="18"/>
        </w:rPr>
      </w:pPr>
      <w:r>
        <w:rPr>
          <w:sz w:val="18"/>
          <w:szCs w:val="18"/>
        </w:rPr>
        <w:lastRenderedPageBreak/>
        <w:t>Chart 22b:</w:t>
      </w:r>
      <w:r>
        <w:rPr>
          <w:sz w:val="18"/>
          <w:szCs w:val="18"/>
        </w:rPr>
        <w:t xml:space="preserve">  Density of Sharpe Ratios - QQQ Yearly Change: 0% - +10%</w:t>
      </w:r>
    </w:p>
    <w:p w14:paraId="7A245126" w14:textId="77777777" w:rsidR="00817C1B" w:rsidRDefault="00392EBA">
      <w:pPr>
        <w:jc w:val="center"/>
        <w:rPr>
          <w:sz w:val="18"/>
          <w:szCs w:val="18"/>
        </w:rPr>
      </w:pPr>
      <w:r>
        <w:rPr>
          <w:noProof/>
          <w:sz w:val="18"/>
          <w:szCs w:val="18"/>
        </w:rPr>
        <w:drawing>
          <wp:inline distT="114300" distB="114300" distL="114300" distR="114300" wp14:anchorId="2BC62FCB" wp14:editId="6D2459B5">
            <wp:extent cx="7052400" cy="3670300"/>
            <wp:effectExtent l="0" t="0" r="0" b="0"/>
            <wp:docPr id="148" name="image138.jpg"/>
            <wp:cNvGraphicFramePr/>
            <a:graphic xmlns:a="http://schemas.openxmlformats.org/drawingml/2006/main">
              <a:graphicData uri="http://schemas.openxmlformats.org/drawingml/2006/picture">
                <pic:pic xmlns:pic="http://schemas.openxmlformats.org/drawingml/2006/picture">
                  <pic:nvPicPr>
                    <pic:cNvPr id="0" name="image138.jpg"/>
                    <pic:cNvPicPr preferRelativeResize="0"/>
                  </pic:nvPicPr>
                  <pic:blipFill>
                    <a:blip r:embed="rId88"/>
                    <a:srcRect/>
                    <a:stretch>
                      <a:fillRect/>
                    </a:stretch>
                  </pic:blipFill>
                  <pic:spPr>
                    <a:xfrm>
                      <a:off x="0" y="0"/>
                      <a:ext cx="7052400" cy="3670300"/>
                    </a:xfrm>
                    <a:prstGeom prst="rect">
                      <a:avLst/>
                    </a:prstGeom>
                    <a:ln/>
                  </pic:spPr>
                </pic:pic>
              </a:graphicData>
            </a:graphic>
          </wp:inline>
        </w:drawing>
      </w:r>
    </w:p>
    <w:p w14:paraId="5E4A1F9B" w14:textId="77777777" w:rsidR="00817C1B" w:rsidRDefault="00817C1B">
      <w:pPr>
        <w:jc w:val="center"/>
        <w:rPr>
          <w:sz w:val="18"/>
          <w:szCs w:val="18"/>
        </w:rPr>
      </w:pPr>
    </w:p>
    <w:p w14:paraId="5CAB6070" w14:textId="77777777" w:rsidR="00817C1B" w:rsidRDefault="00392EBA">
      <w:pPr>
        <w:jc w:val="center"/>
        <w:rPr>
          <w:sz w:val="18"/>
          <w:szCs w:val="18"/>
        </w:rPr>
      </w:pPr>
      <w:r>
        <w:rPr>
          <w:sz w:val="18"/>
          <w:szCs w:val="18"/>
        </w:rPr>
        <w:t>Chart 22c:  Density of MAR Ratios - QQQ Yearly Change: 0% - +10%</w:t>
      </w:r>
    </w:p>
    <w:p w14:paraId="359F8E71" w14:textId="77777777" w:rsidR="00817C1B" w:rsidRDefault="00392EBA">
      <w:pPr>
        <w:jc w:val="center"/>
        <w:rPr>
          <w:sz w:val="18"/>
          <w:szCs w:val="18"/>
        </w:rPr>
      </w:pPr>
      <w:r>
        <w:rPr>
          <w:noProof/>
          <w:sz w:val="18"/>
          <w:szCs w:val="18"/>
        </w:rPr>
        <w:drawing>
          <wp:inline distT="114300" distB="114300" distL="114300" distR="114300" wp14:anchorId="2692623A" wp14:editId="58CF0D15">
            <wp:extent cx="7052400" cy="4051300"/>
            <wp:effectExtent l="0" t="0" r="0" b="0"/>
            <wp:docPr id="113" name="image106.jpg"/>
            <wp:cNvGraphicFramePr/>
            <a:graphic xmlns:a="http://schemas.openxmlformats.org/drawingml/2006/main">
              <a:graphicData uri="http://schemas.openxmlformats.org/drawingml/2006/picture">
                <pic:pic xmlns:pic="http://schemas.openxmlformats.org/drawingml/2006/picture">
                  <pic:nvPicPr>
                    <pic:cNvPr id="0" name="image106.jpg"/>
                    <pic:cNvPicPr preferRelativeResize="0"/>
                  </pic:nvPicPr>
                  <pic:blipFill>
                    <a:blip r:embed="rId89"/>
                    <a:srcRect/>
                    <a:stretch>
                      <a:fillRect/>
                    </a:stretch>
                  </pic:blipFill>
                  <pic:spPr>
                    <a:xfrm>
                      <a:off x="0" y="0"/>
                      <a:ext cx="7052400" cy="4051300"/>
                    </a:xfrm>
                    <a:prstGeom prst="rect">
                      <a:avLst/>
                    </a:prstGeom>
                    <a:ln/>
                  </pic:spPr>
                </pic:pic>
              </a:graphicData>
            </a:graphic>
          </wp:inline>
        </w:drawing>
      </w:r>
    </w:p>
    <w:p w14:paraId="45285227" w14:textId="77777777" w:rsidR="00817C1B" w:rsidRDefault="00392EBA">
      <w:pPr>
        <w:jc w:val="center"/>
        <w:rPr>
          <w:sz w:val="18"/>
          <w:szCs w:val="18"/>
        </w:rPr>
      </w:pPr>
      <w:r>
        <w:br w:type="page"/>
      </w:r>
    </w:p>
    <w:p w14:paraId="36E4787C" w14:textId="77777777" w:rsidR="00817C1B" w:rsidRDefault="00392EBA">
      <w:pPr>
        <w:jc w:val="center"/>
        <w:rPr>
          <w:sz w:val="18"/>
          <w:szCs w:val="18"/>
        </w:rPr>
      </w:pPr>
      <w:r>
        <w:rPr>
          <w:sz w:val="18"/>
          <w:szCs w:val="18"/>
        </w:rPr>
        <w:lastRenderedPageBreak/>
        <w:t>Chart 22d:  Density of Maximum Drawdowns - QQQ Yearly Change: 0% - +10%</w:t>
      </w:r>
    </w:p>
    <w:p w14:paraId="75EF1079" w14:textId="77777777" w:rsidR="00817C1B" w:rsidRDefault="00392EBA">
      <w:pPr>
        <w:jc w:val="center"/>
        <w:rPr>
          <w:sz w:val="18"/>
          <w:szCs w:val="18"/>
        </w:rPr>
      </w:pPr>
      <w:r>
        <w:rPr>
          <w:noProof/>
          <w:sz w:val="18"/>
          <w:szCs w:val="18"/>
        </w:rPr>
        <w:drawing>
          <wp:inline distT="114300" distB="114300" distL="114300" distR="114300" wp14:anchorId="1A35B972" wp14:editId="1A180396">
            <wp:extent cx="7052400" cy="4051300"/>
            <wp:effectExtent l="0" t="0" r="0" b="0"/>
            <wp:docPr id="141" name="image134.jpg"/>
            <wp:cNvGraphicFramePr/>
            <a:graphic xmlns:a="http://schemas.openxmlformats.org/drawingml/2006/main">
              <a:graphicData uri="http://schemas.openxmlformats.org/drawingml/2006/picture">
                <pic:pic xmlns:pic="http://schemas.openxmlformats.org/drawingml/2006/picture">
                  <pic:nvPicPr>
                    <pic:cNvPr id="0" name="image134.jpg"/>
                    <pic:cNvPicPr preferRelativeResize="0"/>
                  </pic:nvPicPr>
                  <pic:blipFill>
                    <a:blip r:embed="rId90"/>
                    <a:srcRect/>
                    <a:stretch>
                      <a:fillRect/>
                    </a:stretch>
                  </pic:blipFill>
                  <pic:spPr>
                    <a:xfrm>
                      <a:off x="0" y="0"/>
                      <a:ext cx="7052400" cy="4051300"/>
                    </a:xfrm>
                    <a:prstGeom prst="rect">
                      <a:avLst/>
                    </a:prstGeom>
                    <a:ln/>
                  </pic:spPr>
                </pic:pic>
              </a:graphicData>
            </a:graphic>
          </wp:inline>
        </w:drawing>
      </w:r>
    </w:p>
    <w:p w14:paraId="6F57F395" w14:textId="77777777" w:rsidR="00817C1B" w:rsidRDefault="00817C1B">
      <w:pPr>
        <w:jc w:val="center"/>
        <w:rPr>
          <w:sz w:val="18"/>
          <w:szCs w:val="18"/>
        </w:rPr>
      </w:pPr>
    </w:p>
    <w:p w14:paraId="1C287E43" w14:textId="77777777" w:rsidR="00817C1B" w:rsidRDefault="00817C1B">
      <w:pPr>
        <w:jc w:val="center"/>
        <w:rPr>
          <w:sz w:val="18"/>
          <w:szCs w:val="18"/>
        </w:rPr>
      </w:pPr>
    </w:p>
    <w:p w14:paraId="58808FCE" w14:textId="77777777" w:rsidR="00817C1B" w:rsidRDefault="00392EBA">
      <w:pPr>
        <w:jc w:val="center"/>
        <w:rPr>
          <w:sz w:val="18"/>
          <w:szCs w:val="18"/>
        </w:rPr>
      </w:pPr>
      <w:r>
        <w:br w:type="page"/>
      </w:r>
    </w:p>
    <w:p w14:paraId="5719A5E8" w14:textId="77777777" w:rsidR="00817C1B" w:rsidRDefault="00392EBA">
      <w:pPr>
        <w:jc w:val="center"/>
        <w:rPr>
          <w:sz w:val="18"/>
          <w:szCs w:val="18"/>
        </w:rPr>
      </w:pPr>
      <w:r>
        <w:rPr>
          <w:rFonts w:ascii="Arial Unicode MS" w:eastAsia="Arial Unicode MS" w:hAnsi="Arial Unicode MS" w:cs="Arial Unicode MS"/>
          <w:sz w:val="18"/>
          <w:szCs w:val="18"/>
        </w:rPr>
        <w:lastRenderedPageBreak/>
        <w:t xml:space="preserve">Table 8d: Years when QQQ Yearly Change: 0% - +10% </w:t>
      </w:r>
      <w:r>
        <w:rPr>
          <w:rFonts w:ascii="Arial Unicode MS" w:eastAsia="Arial Unicode MS" w:hAnsi="Arial Unicode MS" w:cs="Arial Unicode MS"/>
          <w:sz w:val="18"/>
          <w:szCs w:val="18"/>
        </w:rPr>
        <w:t>ー</w:t>
      </w:r>
      <w:r>
        <w:rPr>
          <w:rFonts w:ascii="Arial Unicode MS" w:eastAsia="Arial Unicode MS" w:hAnsi="Arial Unicode MS" w:cs="Arial Unicode MS"/>
          <w:sz w:val="18"/>
          <w:szCs w:val="18"/>
        </w:rPr>
        <w:t xml:space="preserve"> 1999-2019</w:t>
      </w:r>
    </w:p>
    <w:p w14:paraId="0DFE877B" w14:textId="77777777" w:rsidR="00817C1B" w:rsidRDefault="00392EBA">
      <w:pPr>
        <w:jc w:val="center"/>
        <w:rPr>
          <w:sz w:val="18"/>
          <w:szCs w:val="18"/>
        </w:rPr>
      </w:pPr>
      <w:r>
        <w:rPr>
          <w:noProof/>
          <w:sz w:val="18"/>
          <w:szCs w:val="18"/>
        </w:rPr>
        <w:drawing>
          <wp:inline distT="114300" distB="114300" distL="114300" distR="114300" wp14:anchorId="264E5BAC" wp14:editId="271FA895">
            <wp:extent cx="1838325" cy="1152525"/>
            <wp:effectExtent l="0" t="0" r="0" b="0"/>
            <wp:docPr id="27"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91"/>
                    <a:srcRect/>
                    <a:stretch>
                      <a:fillRect/>
                    </a:stretch>
                  </pic:blipFill>
                  <pic:spPr>
                    <a:xfrm>
                      <a:off x="0" y="0"/>
                      <a:ext cx="1838325" cy="1152525"/>
                    </a:xfrm>
                    <a:prstGeom prst="rect">
                      <a:avLst/>
                    </a:prstGeom>
                    <a:ln/>
                  </pic:spPr>
                </pic:pic>
              </a:graphicData>
            </a:graphic>
          </wp:inline>
        </w:drawing>
      </w:r>
    </w:p>
    <w:p w14:paraId="78A0371F" w14:textId="77777777" w:rsidR="00817C1B" w:rsidRDefault="00817C1B">
      <w:pPr>
        <w:jc w:val="center"/>
        <w:rPr>
          <w:sz w:val="18"/>
          <w:szCs w:val="18"/>
        </w:rPr>
      </w:pPr>
    </w:p>
    <w:p w14:paraId="356F9E5E" w14:textId="77777777" w:rsidR="00817C1B" w:rsidRDefault="00392EBA">
      <w:pPr>
        <w:jc w:val="center"/>
        <w:rPr>
          <w:sz w:val="18"/>
          <w:szCs w:val="18"/>
        </w:rPr>
      </w:pPr>
      <w:r>
        <w:rPr>
          <w:sz w:val="18"/>
          <w:szCs w:val="18"/>
        </w:rPr>
        <w:t>Table 9d: Performance indicators of different strategies - QQQ Yearly Change: 0% - +10%</w:t>
      </w:r>
    </w:p>
    <w:p w14:paraId="161B4A9A" w14:textId="77777777" w:rsidR="00817C1B" w:rsidRDefault="00392EBA">
      <w:pPr>
        <w:jc w:val="center"/>
        <w:rPr>
          <w:sz w:val="18"/>
          <w:szCs w:val="18"/>
        </w:rPr>
      </w:pPr>
      <w:r>
        <w:rPr>
          <w:noProof/>
          <w:sz w:val="18"/>
          <w:szCs w:val="18"/>
        </w:rPr>
        <w:drawing>
          <wp:inline distT="114300" distB="114300" distL="114300" distR="114300" wp14:anchorId="04932078" wp14:editId="1B5141E2">
            <wp:extent cx="7052400" cy="3594100"/>
            <wp:effectExtent l="0" t="0" r="0" b="0"/>
            <wp:docPr id="82" name="image75.png"/>
            <wp:cNvGraphicFramePr/>
            <a:graphic xmlns:a="http://schemas.openxmlformats.org/drawingml/2006/main">
              <a:graphicData uri="http://schemas.openxmlformats.org/drawingml/2006/picture">
                <pic:pic xmlns:pic="http://schemas.openxmlformats.org/drawingml/2006/picture">
                  <pic:nvPicPr>
                    <pic:cNvPr id="0" name="image75.png"/>
                    <pic:cNvPicPr preferRelativeResize="0"/>
                  </pic:nvPicPr>
                  <pic:blipFill>
                    <a:blip r:embed="rId92"/>
                    <a:srcRect/>
                    <a:stretch>
                      <a:fillRect/>
                    </a:stretch>
                  </pic:blipFill>
                  <pic:spPr>
                    <a:xfrm>
                      <a:off x="0" y="0"/>
                      <a:ext cx="7052400" cy="3594100"/>
                    </a:xfrm>
                    <a:prstGeom prst="rect">
                      <a:avLst/>
                    </a:prstGeom>
                    <a:ln/>
                  </pic:spPr>
                </pic:pic>
              </a:graphicData>
            </a:graphic>
          </wp:inline>
        </w:drawing>
      </w:r>
    </w:p>
    <w:p w14:paraId="3009B03E" w14:textId="77777777" w:rsidR="00817C1B" w:rsidRDefault="00817C1B">
      <w:pPr>
        <w:jc w:val="center"/>
        <w:rPr>
          <w:sz w:val="18"/>
          <w:szCs w:val="18"/>
        </w:rPr>
      </w:pPr>
    </w:p>
    <w:p w14:paraId="7EBAFA22" w14:textId="77777777" w:rsidR="00817C1B" w:rsidRDefault="00817C1B">
      <w:pPr>
        <w:jc w:val="center"/>
        <w:rPr>
          <w:sz w:val="18"/>
          <w:szCs w:val="18"/>
        </w:rPr>
      </w:pPr>
    </w:p>
    <w:p w14:paraId="661AF2B8" w14:textId="77777777" w:rsidR="00817C1B" w:rsidRDefault="00817C1B">
      <w:pPr>
        <w:jc w:val="center"/>
        <w:rPr>
          <w:sz w:val="18"/>
          <w:szCs w:val="18"/>
        </w:rPr>
      </w:pPr>
    </w:p>
    <w:p w14:paraId="32DE6D2A" w14:textId="77777777" w:rsidR="00817C1B" w:rsidRDefault="00392EBA">
      <w:pPr>
        <w:jc w:val="center"/>
        <w:rPr>
          <w:sz w:val="18"/>
          <w:szCs w:val="18"/>
        </w:rPr>
      </w:pPr>
      <w:r>
        <w:br w:type="page"/>
      </w:r>
    </w:p>
    <w:p w14:paraId="1A0EA273" w14:textId="77777777" w:rsidR="00817C1B" w:rsidRDefault="00392EBA">
      <w:pPr>
        <w:jc w:val="center"/>
        <w:rPr>
          <w:sz w:val="18"/>
          <w:szCs w:val="18"/>
        </w:rPr>
      </w:pPr>
      <w:r>
        <w:rPr>
          <w:sz w:val="18"/>
          <w:szCs w:val="18"/>
        </w:rPr>
        <w:lastRenderedPageBreak/>
        <w:t>Chart 23a:  Density of Differences in CAGRs - Compared to B&amp;H QQQ w/o Hedges - QQQ Yearly Change</w:t>
      </w:r>
      <w:r>
        <w:rPr>
          <w:sz w:val="18"/>
          <w:szCs w:val="18"/>
        </w:rPr>
        <w:t>: 0% - +10%</w:t>
      </w:r>
    </w:p>
    <w:p w14:paraId="3E7AE67A" w14:textId="77777777" w:rsidR="00817C1B" w:rsidRDefault="00392EBA">
      <w:pPr>
        <w:jc w:val="center"/>
        <w:rPr>
          <w:sz w:val="18"/>
          <w:szCs w:val="18"/>
        </w:rPr>
      </w:pPr>
      <w:r>
        <w:rPr>
          <w:noProof/>
          <w:sz w:val="18"/>
          <w:szCs w:val="18"/>
        </w:rPr>
        <w:drawing>
          <wp:inline distT="114300" distB="114300" distL="114300" distR="114300" wp14:anchorId="17594DFA" wp14:editId="58111F40">
            <wp:extent cx="7052400" cy="3302000"/>
            <wp:effectExtent l="0" t="0" r="0" b="0"/>
            <wp:docPr id="19" name="image15.jpg"/>
            <wp:cNvGraphicFramePr/>
            <a:graphic xmlns:a="http://schemas.openxmlformats.org/drawingml/2006/main">
              <a:graphicData uri="http://schemas.openxmlformats.org/drawingml/2006/picture">
                <pic:pic xmlns:pic="http://schemas.openxmlformats.org/drawingml/2006/picture">
                  <pic:nvPicPr>
                    <pic:cNvPr id="0" name="image15.jpg"/>
                    <pic:cNvPicPr preferRelativeResize="0"/>
                  </pic:nvPicPr>
                  <pic:blipFill>
                    <a:blip r:embed="rId93"/>
                    <a:srcRect/>
                    <a:stretch>
                      <a:fillRect/>
                    </a:stretch>
                  </pic:blipFill>
                  <pic:spPr>
                    <a:xfrm>
                      <a:off x="0" y="0"/>
                      <a:ext cx="7052400" cy="3302000"/>
                    </a:xfrm>
                    <a:prstGeom prst="rect">
                      <a:avLst/>
                    </a:prstGeom>
                    <a:ln/>
                  </pic:spPr>
                </pic:pic>
              </a:graphicData>
            </a:graphic>
          </wp:inline>
        </w:drawing>
      </w:r>
    </w:p>
    <w:p w14:paraId="0BE8A1DA" w14:textId="77777777" w:rsidR="00817C1B" w:rsidRDefault="00817C1B">
      <w:pPr>
        <w:jc w:val="center"/>
        <w:rPr>
          <w:sz w:val="18"/>
          <w:szCs w:val="18"/>
        </w:rPr>
      </w:pPr>
    </w:p>
    <w:p w14:paraId="7695DF44" w14:textId="77777777" w:rsidR="00817C1B" w:rsidRDefault="00392EBA">
      <w:pPr>
        <w:jc w:val="center"/>
        <w:rPr>
          <w:sz w:val="18"/>
          <w:szCs w:val="18"/>
        </w:rPr>
      </w:pPr>
      <w:r>
        <w:rPr>
          <w:sz w:val="18"/>
          <w:szCs w:val="18"/>
        </w:rPr>
        <w:t>Chart 23b:  Density of Differences in Sharpe Ratios - Compared to B&amp;H QQQ w/o Hedges - QQQ Yearly Change: 0% - +10%</w:t>
      </w:r>
    </w:p>
    <w:p w14:paraId="6EA320F2" w14:textId="77777777" w:rsidR="00817C1B" w:rsidRDefault="00392EBA">
      <w:pPr>
        <w:jc w:val="center"/>
        <w:rPr>
          <w:sz w:val="18"/>
          <w:szCs w:val="18"/>
        </w:rPr>
      </w:pPr>
      <w:r>
        <w:rPr>
          <w:noProof/>
          <w:sz w:val="18"/>
          <w:szCs w:val="18"/>
        </w:rPr>
        <w:drawing>
          <wp:inline distT="114300" distB="114300" distL="114300" distR="114300" wp14:anchorId="23E8B344" wp14:editId="31320973">
            <wp:extent cx="7052400" cy="3416300"/>
            <wp:effectExtent l="0" t="0" r="0" b="0"/>
            <wp:docPr id="88" name="image93.jpg"/>
            <wp:cNvGraphicFramePr/>
            <a:graphic xmlns:a="http://schemas.openxmlformats.org/drawingml/2006/main">
              <a:graphicData uri="http://schemas.openxmlformats.org/drawingml/2006/picture">
                <pic:pic xmlns:pic="http://schemas.openxmlformats.org/drawingml/2006/picture">
                  <pic:nvPicPr>
                    <pic:cNvPr id="0" name="image93.jpg"/>
                    <pic:cNvPicPr preferRelativeResize="0"/>
                  </pic:nvPicPr>
                  <pic:blipFill>
                    <a:blip r:embed="rId94"/>
                    <a:srcRect/>
                    <a:stretch>
                      <a:fillRect/>
                    </a:stretch>
                  </pic:blipFill>
                  <pic:spPr>
                    <a:xfrm>
                      <a:off x="0" y="0"/>
                      <a:ext cx="7052400" cy="3416300"/>
                    </a:xfrm>
                    <a:prstGeom prst="rect">
                      <a:avLst/>
                    </a:prstGeom>
                    <a:ln/>
                  </pic:spPr>
                </pic:pic>
              </a:graphicData>
            </a:graphic>
          </wp:inline>
        </w:drawing>
      </w:r>
    </w:p>
    <w:p w14:paraId="0333DDD4" w14:textId="77777777" w:rsidR="00817C1B" w:rsidRDefault="00817C1B">
      <w:pPr>
        <w:jc w:val="center"/>
        <w:rPr>
          <w:sz w:val="18"/>
          <w:szCs w:val="18"/>
        </w:rPr>
      </w:pPr>
    </w:p>
    <w:p w14:paraId="77D1AF81" w14:textId="77777777" w:rsidR="00817C1B" w:rsidRDefault="00392EBA">
      <w:pPr>
        <w:jc w:val="center"/>
        <w:rPr>
          <w:sz w:val="18"/>
          <w:szCs w:val="18"/>
        </w:rPr>
      </w:pPr>
      <w:r>
        <w:br w:type="page"/>
      </w:r>
    </w:p>
    <w:p w14:paraId="4246EF7C" w14:textId="77777777" w:rsidR="00817C1B" w:rsidRDefault="00392EBA">
      <w:pPr>
        <w:jc w:val="center"/>
        <w:rPr>
          <w:sz w:val="18"/>
          <w:szCs w:val="18"/>
        </w:rPr>
      </w:pPr>
      <w:r>
        <w:rPr>
          <w:sz w:val="18"/>
          <w:szCs w:val="18"/>
        </w:rPr>
        <w:lastRenderedPageBreak/>
        <w:t>Chart 23c:  Density of Differences in MAR Ratios - Compared to B&amp;H QQQ w/o Hedges - QQQ Yearly Change: 0% - +10%</w:t>
      </w:r>
    </w:p>
    <w:p w14:paraId="365E5020" w14:textId="77777777" w:rsidR="00817C1B" w:rsidRDefault="00392EBA">
      <w:pPr>
        <w:jc w:val="center"/>
        <w:rPr>
          <w:sz w:val="18"/>
          <w:szCs w:val="18"/>
        </w:rPr>
      </w:pPr>
      <w:r>
        <w:rPr>
          <w:noProof/>
          <w:sz w:val="18"/>
          <w:szCs w:val="18"/>
        </w:rPr>
        <w:drawing>
          <wp:inline distT="114300" distB="114300" distL="114300" distR="114300" wp14:anchorId="67A16122" wp14:editId="351845D2">
            <wp:extent cx="7052400" cy="3416300"/>
            <wp:effectExtent l="0" t="0" r="0" b="0"/>
            <wp:docPr id="67" name="image60.jpg"/>
            <wp:cNvGraphicFramePr/>
            <a:graphic xmlns:a="http://schemas.openxmlformats.org/drawingml/2006/main">
              <a:graphicData uri="http://schemas.openxmlformats.org/drawingml/2006/picture">
                <pic:pic xmlns:pic="http://schemas.openxmlformats.org/drawingml/2006/picture">
                  <pic:nvPicPr>
                    <pic:cNvPr id="0" name="image60.jpg"/>
                    <pic:cNvPicPr preferRelativeResize="0"/>
                  </pic:nvPicPr>
                  <pic:blipFill>
                    <a:blip r:embed="rId95"/>
                    <a:srcRect/>
                    <a:stretch>
                      <a:fillRect/>
                    </a:stretch>
                  </pic:blipFill>
                  <pic:spPr>
                    <a:xfrm>
                      <a:off x="0" y="0"/>
                      <a:ext cx="7052400" cy="3416300"/>
                    </a:xfrm>
                    <a:prstGeom prst="rect">
                      <a:avLst/>
                    </a:prstGeom>
                    <a:ln/>
                  </pic:spPr>
                </pic:pic>
              </a:graphicData>
            </a:graphic>
          </wp:inline>
        </w:drawing>
      </w:r>
    </w:p>
    <w:p w14:paraId="5B349A90" w14:textId="77777777" w:rsidR="00817C1B" w:rsidRDefault="00817C1B">
      <w:pPr>
        <w:jc w:val="center"/>
        <w:rPr>
          <w:sz w:val="18"/>
          <w:szCs w:val="18"/>
        </w:rPr>
      </w:pPr>
    </w:p>
    <w:p w14:paraId="0C1A7655" w14:textId="77777777" w:rsidR="00817C1B" w:rsidRDefault="00392EBA">
      <w:pPr>
        <w:jc w:val="center"/>
        <w:rPr>
          <w:sz w:val="18"/>
          <w:szCs w:val="18"/>
        </w:rPr>
      </w:pPr>
      <w:r>
        <w:rPr>
          <w:sz w:val="18"/>
          <w:szCs w:val="18"/>
        </w:rPr>
        <w:t>Char</w:t>
      </w:r>
      <w:r>
        <w:rPr>
          <w:sz w:val="18"/>
          <w:szCs w:val="18"/>
        </w:rPr>
        <w:t>t 23d:  Density of Differences in Maximum Drawdowns - Compared to B&amp;H QQQ w/o Hedges - QQQ Yearly Change: 0% - +10%</w:t>
      </w:r>
    </w:p>
    <w:p w14:paraId="6E3A638F" w14:textId="77777777" w:rsidR="00817C1B" w:rsidRDefault="00392EBA">
      <w:pPr>
        <w:jc w:val="center"/>
        <w:rPr>
          <w:sz w:val="18"/>
          <w:szCs w:val="18"/>
        </w:rPr>
      </w:pPr>
      <w:r>
        <w:rPr>
          <w:noProof/>
          <w:sz w:val="18"/>
          <w:szCs w:val="18"/>
        </w:rPr>
        <w:drawing>
          <wp:inline distT="114300" distB="114300" distL="114300" distR="114300" wp14:anchorId="7F3B556A" wp14:editId="2248B254">
            <wp:extent cx="7052400" cy="3416300"/>
            <wp:effectExtent l="0" t="0" r="0" b="0"/>
            <wp:docPr id="127" name="image118.jpg"/>
            <wp:cNvGraphicFramePr/>
            <a:graphic xmlns:a="http://schemas.openxmlformats.org/drawingml/2006/main">
              <a:graphicData uri="http://schemas.openxmlformats.org/drawingml/2006/picture">
                <pic:pic xmlns:pic="http://schemas.openxmlformats.org/drawingml/2006/picture">
                  <pic:nvPicPr>
                    <pic:cNvPr id="0" name="image118.jpg"/>
                    <pic:cNvPicPr preferRelativeResize="0"/>
                  </pic:nvPicPr>
                  <pic:blipFill>
                    <a:blip r:embed="rId96"/>
                    <a:srcRect/>
                    <a:stretch>
                      <a:fillRect/>
                    </a:stretch>
                  </pic:blipFill>
                  <pic:spPr>
                    <a:xfrm>
                      <a:off x="0" y="0"/>
                      <a:ext cx="7052400" cy="3416300"/>
                    </a:xfrm>
                    <a:prstGeom prst="rect">
                      <a:avLst/>
                    </a:prstGeom>
                    <a:ln/>
                  </pic:spPr>
                </pic:pic>
              </a:graphicData>
            </a:graphic>
          </wp:inline>
        </w:drawing>
      </w:r>
    </w:p>
    <w:p w14:paraId="510A4621" w14:textId="77777777" w:rsidR="00817C1B" w:rsidRDefault="00817C1B">
      <w:pPr>
        <w:jc w:val="center"/>
        <w:rPr>
          <w:sz w:val="18"/>
          <w:szCs w:val="18"/>
        </w:rPr>
      </w:pPr>
    </w:p>
    <w:p w14:paraId="12315075" w14:textId="77777777" w:rsidR="00817C1B" w:rsidRDefault="00392EBA">
      <w:pPr>
        <w:jc w:val="center"/>
        <w:rPr>
          <w:sz w:val="18"/>
          <w:szCs w:val="18"/>
        </w:rPr>
      </w:pPr>
      <w:r>
        <w:br w:type="page"/>
      </w:r>
    </w:p>
    <w:p w14:paraId="08E864A2" w14:textId="77777777" w:rsidR="00817C1B" w:rsidRDefault="00392EBA">
      <w:pPr>
        <w:jc w:val="center"/>
        <w:rPr>
          <w:sz w:val="18"/>
          <w:szCs w:val="18"/>
        </w:rPr>
      </w:pPr>
      <w:r>
        <w:rPr>
          <w:sz w:val="18"/>
          <w:szCs w:val="18"/>
        </w:rPr>
        <w:lastRenderedPageBreak/>
        <w:t>Table 10d: Performance indicators of differences compared to B&amp;H QQQ w/o Hedges - QQQ Yearly Change: 0% - +10%</w:t>
      </w:r>
    </w:p>
    <w:p w14:paraId="5669634E" w14:textId="77777777" w:rsidR="00817C1B" w:rsidRDefault="00392EBA">
      <w:pPr>
        <w:jc w:val="center"/>
        <w:rPr>
          <w:sz w:val="18"/>
          <w:szCs w:val="18"/>
        </w:rPr>
      </w:pPr>
      <w:r>
        <w:rPr>
          <w:noProof/>
          <w:sz w:val="18"/>
          <w:szCs w:val="18"/>
        </w:rPr>
        <w:drawing>
          <wp:inline distT="114300" distB="114300" distL="114300" distR="114300" wp14:anchorId="59EE0CDE" wp14:editId="1C707E03">
            <wp:extent cx="7052400" cy="4635500"/>
            <wp:effectExtent l="0" t="0" r="0" b="0"/>
            <wp:docPr id="3"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97"/>
                    <a:srcRect/>
                    <a:stretch>
                      <a:fillRect/>
                    </a:stretch>
                  </pic:blipFill>
                  <pic:spPr>
                    <a:xfrm>
                      <a:off x="0" y="0"/>
                      <a:ext cx="7052400" cy="4635500"/>
                    </a:xfrm>
                    <a:prstGeom prst="rect">
                      <a:avLst/>
                    </a:prstGeom>
                    <a:ln/>
                  </pic:spPr>
                </pic:pic>
              </a:graphicData>
            </a:graphic>
          </wp:inline>
        </w:drawing>
      </w:r>
    </w:p>
    <w:p w14:paraId="241399FA" w14:textId="77777777" w:rsidR="00817C1B" w:rsidRDefault="00392EBA">
      <w:pPr>
        <w:jc w:val="center"/>
        <w:rPr>
          <w:sz w:val="18"/>
          <w:szCs w:val="18"/>
        </w:rPr>
      </w:pPr>
      <w:r>
        <w:br w:type="page"/>
      </w:r>
    </w:p>
    <w:p w14:paraId="1F06E237" w14:textId="77777777" w:rsidR="00817C1B" w:rsidRDefault="00392EBA">
      <w:pPr>
        <w:jc w:val="both"/>
      </w:pPr>
      <w:r>
        <w:rPr>
          <w:rFonts w:ascii="Trebuchet MS" w:eastAsia="Trebuchet MS" w:hAnsi="Trebuchet MS" w:cs="Trebuchet MS"/>
          <w:b/>
          <w:color w:val="38761D"/>
          <w:sz w:val="24"/>
          <w:szCs w:val="24"/>
        </w:rPr>
        <w:lastRenderedPageBreak/>
        <w:t>QQQ Yearly Change: +</w:t>
      </w:r>
      <w:r>
        <w:rPr>
          <w:rFonts w:ascii="Trebuchet MS" w:eastAsia="Trebuchet MS" w:hAnsi="Trebuchet MS" w:cs="Trebuchet MS"/>
          <w:b/>
          <w:color w:val="38761D"/>
          <w:sz w:val="24"/>
          <w:szCs w:val="24"/>
        </w:rPr>
        <w:t>10% - +20%</w:t>
      </w:r>
    </w:p>
    <w:p w14:paraId="66211C03" w14:textId="77777777" w:rsidR="00817C1B" w:rsidRDefault="00817C1B">
      <w:pPr>
        <w:jc w:val="both"/>
      </w:pPr>
    </w:p>
    <w:p w14:paraId="1F3C9C99" w14:textId="77777777" w:rsidR="00817C1B" w:rsidRDefault="00392EBA">
      <w:pPr>
        <w:jc w:val="both"/>
      </w:pPr>
      <w:r>
        <w:t xml:space="preserve">The fifth examined group is a </w:t>
      </w:r>
      <w:r>
        <w:rPr>
          <w:b/>
        </w:rPr>
        <w:t>moderately</w:t>
      </w:r>
      <w:r>
        <w:t xml:space="preserve"> </w:t>
      </w:r>
      <w:r>
        <w:rPr>
          <w:b/>
        </w:rPr>
        <w:t>bullish case</w:t>
      </w:r>
      <w:r>
        <w:t xml:space="preserve">: the </w:t>
      </w:r>
      <w:r>
        <w:rPr>
          <w:b/>
        </w:rPr>
        <w:t>yearly percentage change of QQQ is between 10% and +20%</w:t>
      </w:r>
      <w:r>
        <w:t xml:space="preserve">. </w:t>
      </w:r>
      <w:r>
        <w:rPr>
          <w:b/>
        </w:rPr>
        <w:t>2004, 2007, 2012 and 2014 were such years from 1999</w:t>
      </w:r>
      <w:r>
        <w:t xml:space="preserve">, i.e. almost 20% of years (Table 8). </w:t>
      </w:r>
    </w:p>
    <w:p w14:paraId="73505692" w14:textId="77777777" w:rsidR="00817C1B" w:rsidRDefault="00817C1B">
      <w:pPr>
        <w:jc w:val="both"/>
      </w:pPr>
    </w:p>
    <w:p w14:paraId="6C1619B2" w14:textId="77777777" w:rsidR="00817C1B" w:rsidRDefault="00392EBA">
      <w:pPr>
        <w:jc w:val="both"/>
      </w:pPr>
      <w:r>
        <w:t xml:space="preserve">Chart 24a-d, Table 9e, Chart 25a-d and Table 10e show the density of performance indicators again. In this case, there are 7 subgroups based on the maximum drawdowns of ‘Pure QQQ’. </w:t>
      </w:r>
    </w:p>
    <w:p w14:paraId="26E4A8D8" w14:textId="77777777" w:rsidR="00817C1B" w:rsidRDefault="00817C1B">
      <w:pPr>
        <w:jc w:val="both"/>
      </w:pPr>
    </w:p>
    <w:p w14:paraId="2D2E1E97" w14:textId="77777777" w:rsidR="00817C1B" w:rsidRDefault="00392EBA">
      <w:pPr>
        <w:jc w:val="both"/>
      </w:pPr>
      <w:r>
        <w:t xml:space="preserve">From now, the </w:t>
      </w:r>
      <w:r>
        <w:rPr>
          <w:b/>
        </w:rPr>
        <w:t>put option part is even more lossy</w:t>
      </w:r>
      <w:r>
        <w:t xml:space="preserve">, </w:t>
      </w:r>
      <w:r>
        <w:rPr>
          <w:b/>
        </w:rPr>
        <w:t>except the extreme case</w:t>
      </w:r>
      <w:r>
        <w:rPr>
          <w:b/>
        </w:rPr>
        <w:t>s when QQQ has an at least 25% drawdown during the year, but finishes above +10%</w:t>
      </w:r>
      <w:r>
        <w:t xml:space="preserve">. In this fifth case, the </w:t>
      </w:r>
      <w:r>
        <w:rPr>
          <w:b/>
        </w:rPr>
        <w:t>‘Bond hedge’ strategy is definitely the best choice, while ‘Combined’ still has a slightly better risk-reward profile than ‘Pure QQQ’</w:t>
      </w:r>
      <w:r>
        <w:t xml:space="preserve">. Thus, our </w:t>
      </w:r>
      <w:r>
        <w:rPr>
          <w:b/>
        </w:rPr>
        <w:t>strat</w:t>
      </w:r>
      <w:r>
        <w:rPr>
          <w:b/>
        </w:rPr>
        <w:t>egy rank</w:t>
      </w:r>
      <w:r>
        <w:t xml:space="preserve"> in this fifth case is the following: </w:t>
      </w:r>
      <w:r>
        <w:br/>
      </w:r>
      <w:r>
        <w:rPr>
          <w:b/>
        </w:rPr>
        <w:t>‘Bond hedge’ &gt; ‘Combined’ ~ ‘Pure QQQ’ &gt;&gt; ‘Put hedge’</w:t>
      </w:r>
      <w:r>
        <w:t>.</w:t>
      </w:r>
    </w:p>
    <w:p w14:paraId="5D586291" w14:textId="77777777" w:rsidR="00817C1B" w:rsidRDefault="00817C1B">
      <w:pPr>
        <w:jc w:val="both"/>
      </w:pPr>
    </w:p>
    <w:p w14:paraId="22CA3B1B" w14:textId="77777777" w:rsidR="00817C1B" w:rsidRDefault="00817C1B">
      <w:pPr>
        <w:jc w:val="both"/>
      </w:pPr>
    </w:p>
    <w:p w14:paraId="434A39E6" w14:textId="77777777" w:rsidR="00817C1B" w:rsidRDefault="00392EBA">
      <w:pPr>
        <w:jc w:val="center"/>
        <w:rPr>
          <w:sz w:val="18"/>
          <w:szCs w:val="18"/>
        </w:rPr>
      </w:pPr>
      <w:r>
        <w:rPr>
          <w:sz w:val="18"/>
          <w:szCs w:val="18"/>
        </w:rPr>
        <w:t>Chart 24a:  Density of CAGRs - QQQ Yearly Change: +10% - +20%</w:t>
      </w:r>
    </w:p>
    <w:p w14:paraId="119C0426" w14:textId="77777777" w:rsidR="00817C1B" w:rsidRDefault="00392EBA">
      <w:pPr>
        <w:jc w:val="center"/>
        <w:rPr>
          <w:sz w:val="18"/>
          <w:szCs w:val="18"/>
        </w:rPr>
      </w:pPr>
      <w:r>
        <w:rPr>
          <w:noProof/>
          <w:sz w:val="18"/>
          <w:szCs w:val="18"/>
        </w:rPr>
        <w:drawing>
          <wp:inline distT="114300" distB="114300" distL="114300" distR="114300" wp14:anchorId="229EF901" wp14:editId="47C372E1">
            <wp:extent cx="7052400" cy="3695700"/>
            <wp:effectExtent l="0" t="0" r="0" b="0"/>
            <wp:docPr id="98" name="image96.jpg"/>
            <wp:cNvGraphicFramePr/>
            <a:graphic xmlns:a="http://schemas.openxmlformats.org/drawingml/2006/main">
              <a:graphicData uri="http://schemas.openxmlformats.org/drawingml/2006/picture">
                <pic:pic xmlns:pic="http://schemas.openxmlformats.org/drawingml/2006/picture">
                  <pic:nvPicPr>
                    <pic:cNvPr id="0" name="image96.jpg"/>
                    <pic:cNvPicPr preferRelativeResize="0"/>
                  </pic:nvPicPr>
                  <pic:blipFill>
                    <a:blip r:embed="rId98"/>
                    <a:srcRect/>
                    <a:stretch>
                      <a:fillRect/>
                    </a:stretch>
                  </pic:blipFill>
                  <pic:spPr>
                    <a:xfrm>
                      <a:off x="0" y="0"/>
                      <a:ext cx="7052400" cy="3695700"/>
                    </a:xfrm>
                    <a:prstGeom prst="rect">
                      <a:avLst/>
                    </a:prstGeom>
                    <a:ln/>
                  </pic:spPr>
                </pic:pic>
              </a:graphicData>
            </a:graphic>
          </wp:inline>
        </w:drawing>
      </w:r>
    </w:p>
    <w:p w14:paraId="2957E63F" w14:textId="77777777" w:rsidR="00817C1B" w:rsidRDefault="00392EBA">
      <w:pPr>
        <w:jc w:val="center"/>
        <w:rPr>
          <w:sz w:val="18"/>
          <w:szCs w:val="18"/>
        </w:rPr>
      </w:pPr>
      <w:r>
        <w:br w:type="page"/>
      </w:r>
    </w:p>
    <w:p w14:paraId="2C28BA75" w14:textId="77777777" w:rsidR="00817C1B" w:rsidRDefault="00392EBA">
      <w:pPr>
        <w:jc w:val="center"/>
        <w:rPr>
          <w:sz w:val="18"/>
          <w:szCs w:val="18"/>
        </w:rPr>
      </w:pPr>
      <w:r>
        <w:rPr>
          <w:sz w:val="18"/>
          <w:szCs w:val="18"/>
        </w:rPr>
        <w:lastRenderedPageBreak/>
        <w:t>Chart 24b:  Density of Sharpe Ratios - QQQ Yearly Change: +10% - +20%</w:t>
      </w:r>
    </w:p>
    <w:p w14:paraId="3185DD7E" w14:textId="77777777" w:rsidR="00817C1B" w:rsidRDefault="00392EBA">
      <w:pPr>
        <w:jc w:val="center"/>
        <w:rPr>
          <w:sz w:val="18"/>
          <w:szCs w:val="18"/>
        </w:rPr>
      </w:pPr>
      <w:r>
        <w:rPr>
          <w:noProof/>
          <w:sz w:val="18"/>
          <w:szCs w:val="18"/>
        </w:rPr>
        <w:drawing>
          <wp:inline distT="114300" distB="114300" distL="114300" distR="114300" wp14:anchorId="301B0193" wp14:editId="17182418">
            <wp:extent cx="7052400" cy="3670300"/>
            <wp:effectExtent l="0" t="0" r="0" b="0"/>
            <wp:docPr id="69" name="image94.jpg"/>
            <wp:cNvGraphicFramePr/>
            <a:graphic xmlns:a="http://schemas.openxmlformats.org/drawingml/2006/main">
              <a:graphicData uri="http://schemas.openxmlformats.org/drawingml/2006/picture">
                <pic:pic xmlns:pic="http://schemas.openxmlformats.org/drawingml/2006/picture">
                  <pic:nvPicPr>
                    <pic:cNvPr id="0" name="image94.jpg"/>
                    <pic:cNvPicPr preferRelativeResize="0"/>
                  </pic:nvPicPr>
                  <pic:blipFill>
                    <a:blip r:embed="rId99"/>
                    <a:srcRect/>
                    <a:stretch>
                      <a:fillRect/>
                    </a:stretch>
                  </pic:blipFill>
                  <pic:spPr>
                    <a:xfrm>
                      <a:off x="0" y="0"/>
                      <a:ext cx="7052400" cy="3670300"/>
                    </a:xfrm>
                    <a:prstGeom prst="rect">
                      <a:avLst/>
                    </a:prstGeom>
                    <a:ln/>
                  </pic:spPr>
                </pic:pic>
              </a:graphicData>
            </a:graphic>
          </wp:inline>
        </w:drawing>
      </w:r>
    </w:p>
    <w:p w14:paraId="778EED15" w14:textId="77777777" w:rsidR="00817C1B" w:rsidRDefault="00817C1B">
      <w:pPr>
        <w:jc w:val="center"/>
        <w:rPr>
          <w:sz w:val="18"/>
          <w:szCs w:val="18"/>
        </w:rPr>
      </w:pPr>
    </w:p>
    <w:p w14:paraId="412A3551" w14:textId="77777777" w:rsidR="00817C1B" w:rsidRDefault="00392EBA">
      <w:pPr>
        <w:jc w:val="center"/>
        <w:rPr>
          <w:sz w:val="18"/>
          <w:szCs w:val="18"/>
        </w:rPr>
      </w:pPr>
      <w:r>
        <w:rPr>
          <w:sz w:val="18"/>
          <w:szCs w:val="18"/>
        </w:rPr>
        <w:t>Chart 24c:  D</w:t>
      </w:r>
      <w:r>
        <w:rPr>
          <w:sz w:val="18"/>
          <w:szCs w:val="18"/>
        </w:rPr>
        <w:t>ensity of MAR Ratios - QQQ Yearly Change: +10% - +20%</w:t>
      </w:r>
    </w:p>
    <w:p w14:paraId="0B4C337B" w14:textId="77777777" w:rsidR="00817C1B" w:rsidRDefault="00392EBA">
      <w:pPr>
        <w:jc w:val="center"/>
        <w:rPr>
          <w:sz w:val="18"/>
          <w:szCs w:val="18"/>
        </w:rPr>
      </w:pPr>
      <w:r>
        <w:rPr>
          <w:noProof/>
          <w:sz w:val="18"/>
          <w:szCs w:val="18"/>
        </w:rPr>
        <w:drawing>
          <wp:inline distT="114300" distB="114300" distL="114300" distR="114300" wp14:anchorId="142D6F55" wp14:editId="2E14D5B7">
            <wp:extent cx="7052400" cy="4051300"/>
            <wp:effectExtent l="0" t="0" r="0" b="0"/>
            <wp:docPr id="24" name="image20.jpg"/>
            <wp:cNvGraphicFramePr/>
            <a:graphic xmlns:a="http://schemas.openxmlformats.org/drawingml/2006/main">
              <a:graphicData uri="http://schemas.openxmlformats.org/drawingml/2006/picture">
                <pic:pic xmlns:pic="http://schemas.openxmlformats.org/drawingml/2006/picture">
                  <pic:nvPicPr>
                    <pic:cNvPr id="0" name="image20.jpg"/>
                    <pic:cNvPicPr preferRelativeResize="0"/>
                  </pic:nvPicPr>
                  <pic:blipFill>
                    <a:blip r:embed="rId100"/>
                    <a:srcRect/>
                    <a:stretch>
                      <a:fillRect/>
                    </a:stretch>
                  </pic:blipFill>
                  <pic:spPr>
                    <a:xfrm>
                      <a:off x="0" y="0"/>
                      <a:ext cx="7052400" cy="4051300"/>
                    </a:xfrm>
                    <a:prstGeom prst="rect">
                      <a:avLst/>
                    </a:prstGeom>
                    <a:ln/>
                  </pic:spPr>
                </pic:pic>
              </a:graphicData>
            </a:graphic>
          </wp:inline>
        </w:drawing>
      </w:r>
    </w:p>
    <w:p w14:paraId="055F9B00" w14:textId="77777777" w:rsidR="00817C1B" w:rsidRDefault="00392EBA">
      <w:pPr>
        <w:jc w:val="center"/>
        <w:rPr>
          <w:sz w:val="18"/>
          <w:szCs w:val="18"/>
        </w:rPr>
      </w:pPr>
      <w:r>
        <w:br w:type="page"/>
      </w:r>
    </w:p>
    <w:p w14:paraId="3FCA1402" w14:textId="77777777" w:rsidR="00817C1B" w:rsidRDefault="00392EBA">
      <w:pPr>
        <w:jc w:val="center"/>
        <w:rPr>
          <w:sz w:val="18"/>
          <w:szCs w:val="18"/>
        </w:rPr>
      </w:pPr>
      <w:r>
        <w:rPr>
          <w:sz w:val="18"/>
          <w:szCs w:val="18"/>
        </w:rPr>
        <w:lastRenderedPageBreak/>
        <w:t>Chart 24d:  Density of Maximum Drawdowns - QQQ Yearly Change: +10% - +20%</w:t>
      </w:r>
    </w:p>
    <w:p w14:paraId="466E75BB" w14:textId="77777777" w:rsidR="00817C1B" w:rsidRDefault="00392EBA">
      <w:pPr>
        <w:jc w:val="center"/>
        <w:rPr>
          <w:sz w:val="18"/>
          <w:szCs w:val="18"/>
        </w:rPr>
      </w:pPr>
      <w:r>
        <w:rPr>
          <w:noProof/>
          <w:sz w:val="18"/>
          <w:szCs w:val="18"/>
        </w:rPr>
        <w:drawing>
          <wp:inline distT="114300" distB="114300" distL="114300" distR="114300" wp14:anchorId="70578C0B" wp14:editId="69A47589">
            <wp:extent cx="7052400" cy="3467100"/>
            <wp:effectExtent l="0" t="0" r="0" b="0"/>
            <wp:docPr id="94" name="image95.jpg"/>
            <wp:cNvGraphicFramePr/>
            <a:graphic xmlns:a="http://schemas.openxmlformats.org/drawingml/2006/main">
              <a:graphicData uri="http://schemas.openxmlformats.org/drawingml/2006/picture">
                <pic:pic xmlns:pic="http://schemas.openxmlformats.org/drawingml/2006/picture">
                  <pic:nvPicPr>
                    <pic:cNvPr id="0" name="image95.jpg"/>
                    <pic:cNvPicPr preferRelativeResize="0"/>
                  </pic:nvPicPr>
                  <pic:blipFill>
                    <a:blip r:embed="rId101"/>
                    <a:srcRect/>
                    <a:stretch>
                      <a:fillRect/>
                    </a:stretch>
                  </pic:blipFill>
                  <pic:spPr>
                    <a:xfrm>
                      <a:off x="0" y="0"/>
                      <a:ext cx="7052400" cy="3467100"/>
                    </a:xfrm>
                    <a:prstGeom prst="rect">
                      <a:avLst/>
                    </a:prstGeom>
                    <a:ln/>
                  </pic:spPr>
                </pic:pic>
              </a:graphicData>
            </a:graphic>
          </wp:inline>
        </w:drawing>
      </w:r>
    </w:p>
    <w:p w14:paraId="16A75B15" w14:textId="77777777" w:rsidR="00817C1B" w:rsidRDefault="00392EBA">
      <w:pPr>
        <w:jc w:val="center"/>
        <w:rPr>
          <w:sz w:val="18"/>
          <w:szCs w:val="18"/>
        </w:rPr>
      </w:pPr>
      <w:r>
        <w:rPr>
          <w:rFonts w:ascii="Arial Unicode MS" w:eastAsia="Arial Unicode MS" w:hAnsi="Arial Unicode MS" w:cs="Arial Unicode MS"/>
          <w:sz w:val="18"/>
          <w:szCs w:val="18"/>
        </w:rPr>
        <w:t xml:space="preserve">Table 8e: Years when QQQ Yearly Change: +10% - +20% </w:t>
      </w:r>
      <w:r>
        <w:rPr>
          <w:rFonts w:ascii="Arial Unicode MS" w:eastAsia="Arial Unicode MS" w:hAnsi="Arial Unicode MS" w:cs="Arial Unicode MS"/>
          <w:sz w:val="18"/>
          <w:szCs w:val="18"/>
        </w:rPr>
        <w:t>ー</w:t>
      </w:r>
      <w:r>
        <w:rPr>
          <w:rFonts w:ascii="Arial Unicode MS" w:eastAsia="Arial Unicode MS" w:hAnsi="Arial Unicode MS" w:cs="Arial Unicode MS"/>
          <w:sz w:val="18"/>
          <w:szCs w:val="18"/>
        </w:rPr>
        <w:t xml:space="preserve"> 1999-2019</w:t>
      </w:r>
    </w:p>
    <w:p w14:paraId="2D5DE76F" w14:textId="77777777" w:rsidR="00817C1B" w:rsidRDefault="00392EBA">
      <w:pPr>
        <w:jc w:val="center"/>
        <w:rPr>
          <w:sz w:val="18"/>
          <w:szCs w:val="18"/>
        </w:rPr>
      </w:pPr>
      <w:r>
        <w:rPr>
          <w:noProof/>
          <w:sz w:val="18"/>
          <w:szCs w:val="18"/>
        </w:rPr>
        <w:drawing>
          <wp:inline distT="114300" distB="114300" distL="114300" distR="114300" wp14:anchorId="653DE634" wp14:editId="12B54624">
            <wp:extent cx="1838325" cy="952500"/>
            <wp:effectExtent l="0" t="0" r="0" b="0"/>
            <wp:docPr id="43" name="image41.png"/>
            <wp:cNvGraphicFramePr/>
            <a:graphic xmlns:a="http://schemas.openxmlformats.org/drawingml/2006/main">
              <a:graphicData uri="http://schemas.openxmlformats.org/drawingml/2006/picture">
                <pic:pic xmlns:pic="http://schemas.openxmlformats.org/drawingml/2006/picture">
                  <pic:nvPicPr>
                    <pic:cNvPr id="0" name="image41.png"/>
                    <pic:cNvPicPr preferRelativeResize="0"/>
                  </pic:nvPicPr>
                  <pic:blipFill>
                    <a:blip r:embed="rId102"/>
                    <a:srcRect/>
                    <a:stretch>
                      <a:fillRect/>
                    </a:stretch>
                  </pic:blipFill>
                  <pic:spPr>
                    <a:xfrm>
                      <a:off x="0" y="0"/>
                      <a:ext cx="1838325" cy="952500"/>
                    </a:xfrm>
                    <a:prstGeom prst="rect">
                      <a:avLst/>
                    </a:prstGeom>
                    <a:ln/>
                  </pic:spPr>
                </pic:pic>
              </a:graphicData>
            </a:graphic>
          </wp:inline>
        </w:drawing>
      </w:r>
    </w:p>
    <w:p w14:paraId="068446A6" w14:textId="77777777" w:rsidR="00817C1B" w:rsidRDefault="00392EBA">
      <w:pPr>
        <w:jc w:val="center"/>
        <w:rPr>
          <w:sz w:val="18"/>
          <w:szCs w:val="18"/>
        </w:rPr>
      </w:pPr>
      <w:r>
        <w:rPr>
          <w:sz w:val="18"/>
          <w:szCs w:val="18"/>
        </w:rPr>
        <w:t>Table 9e: Performance indicators of different strategies</w:t>
      </w:r>
      <w:r>
        <w:rPr>
          <w:sz w:val="18"/>
          <w:szCs w:val="18"/>
        </w:rPr>
        <w:t xml:space="preserve"> - QQQ Yearly Change: +10% - +20%</w:t>
      </w:r>
    </w:p>
    <w:p w14:paraId="1B97000F" w14:textId="77777777" w:rsidR="00817C1B" w:rsidRDefault="00392EBA">
      <w:pPr>
        <w:jc w:val="center"/>
        <w:rPr>
          <w:sz w:val="18"/>
          <w:szCs w:val="18"/>
        </w:rPr>
      </w:pPr>
      <w:r>
        <w:rPr>
          <w:noProof/>
          <w:sz w:val="18"/>
          <w:szCs w:val="18"/>
        </w:rPr>
        <w:lastRenderedPageBreak/>
        <w:drawing>
          <wp:inline distT="114300" distB="114300" distL="114300" distR="114300" wp14:anchorId="4F50801C" wp14:editId="5E4F9261">
            <wp:extent cx="7052400" cy="4076700"/>
            <wp:effectExtent l="0" t="0" r="0" b="0"/>
            <wp:docPr id="1"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03"/>
                    <a:srcRect/>
                    <a:stretch>
                      <a:fillRect/>
                    </a:stretch>
                  </pic:blipFill>
                  <pic:spPr>
                    <a:xfrm>
                      <a:off x="0" y="0"/>
                      <a:ext cx="7052400" cy="4076700"/>
                    </a:xfrm>
                    <a:prstGeom prst="rect">
                      <a:avLst/>
                    </a:prstGeom>
                    <a:ln/>
                  </pic:spPr>
                </pic:pic>
              </a:graphicData>
            </a:graphic>
          </wp:inline>
        </w:drawing>
      </w:r>
    </w:p>
    <w:p w14:paraId="0AEA0A4E" w14:textId="77777777" w:rsidR="00817C1B" w:rsidRDefault="00817C1B">
      <w:pPr>
        <w:jc w:val="center"/>
        <w:rPr>
          <w:sz w:val="18"/>
          <w:szCs w:val="18"/>
        </w:rPr>
      </w:pPr>
    </w:p>
    <w:p w14:paraId="4F9A176B" w14:textId="77777777" w:rsidR="00817C1B" w:rsidRDefault="00392EBA">
      <w:pPr>
        <w:jc w:val="center"/>
        <w:rPr>
          <w:sz w:val="18"/>
          <w:szCs w:val="18"/>
        </w:rPr>
      </w:pPr>
      <w:r>
        <w:rPr>
          <w:sz w:val="18"/>
          <w:szCs w:val="18"/>
        </w:rPr>
        <w:t>Chart 25a:  Density of Differences in CAGRs - Compared to B&amp;H QQQ w/o Hedges - QQQ Yearly Change: +10% - +20%</w:t>
      </w:r>
    </w:p>
    <w:p w14:paraId="65814FD7" w14:textId="77777777" w:rsidR="00817C1B" w:rsidRDefault="00392EBA">
      <w:pPr>
        <w:jc w:val="center"/>
        <w:rPr>
          <w:sz w:val="18"/>
          <w:szCs w:val="18"/>
        </w:rPr>
      </w:pPr>
      <w:r>
        <w:rPr>
          <w:noProof/>
          <w:sz w:val="18"/>
          <w:szCs w:val="18"/>
        </w:rPr>
        <w:drawing>
          <wp:inline distT="114300" distB="114300" distL="114300" distR="114300" wp14:anchorId="2DAF75C5" wp14:editId="3F45DAF0">
            <wp:extent cx="7052400" cy="3238500"/>
            <wp:effectExtent l="0" t="0" r="0" b="0"/>
            <wp:docPr id="150" name="image147.jpg"/>
            <wp:cNvGraphicFramePr/>
            <a:graphic xmlns:a="http://schemas.openxmlformats.org/drawingml/2006/main">
              <a:graphicData uri="http://schemas.openxmlformats.org/drawingml/2006/picture">
                <pic:pic xmlns:pic="http://schemas.openxmlformats.org/drawingml/2006/picture">
                  <pic:nvPicPr>
                    <pic:cNvPr id="0" name="image147.jpg"/>
                    <pic:cNvPicPr preferRelativeResize="0"/>
                  </pic:nvPicPr>
                  <pic:blipFill>
                    <a:blip r:embed="rId104"/>
                    <a:srcRect/>
                    <a:stretch>
                      <a:fillRect/>
                    </a:stretch>
                  </pic:blipFill>
                  <pic:spPr>
                    <a:xfrm>
                      <a:off x="0" y="0"/>
                      <a:ext cx="7052400" cy="3238500"/>
                    </a:xfrm>
                    <a:prstGeom prst="rect">
                      <a:avLst/>
                    </a:prstGeom>
                    <a:ln/>
                  </pic:spPr>
                </pic:pic>
              </a:graphicData>
            </a:graphic>
          </wp:inline>
        </w:drawing>
      </w:r>
    </w:p>
    <w:p w14:paraId="2CE0E17E" w14:textId="77777777" w:rsidR="00817C1B" w:rsidRDefault="00817C1B">
      <w:pPr>
        <w:jc w:val="center"/>
        <w:rPr>
          <w:sz w:val="18"/>
          <w:szCs w:val="18"/>
        </w:rPr>
      </w:pPr>
    </w:p>
    <w:p w14:paraId="4A377850" w14:textId="77777777" w:rsidR="00817C1B" w:rsidRDefault="00392EBA">
      <w:pPr>
        <w:jc w:val="center"/>
        <w:rPr>
          <w:sz w:val="18"/>
          <w:szCs w:val="18"/>
        </w:rPr>
      </w:pPr>
      <w:r>
        <w:rPr>
          <w:sz w:val="18"/>
          <w:szCs w:val="18"/>
        </w:rPr>
        <w:t xml:space="preserve">Chart 25b:  Density of Differences in Sharpe Ratios - Compared to B&amp;H QQQ w/o Hedges - QQQ Yearly Change: </w:t>
      </w:r>
      <w:r>
        <w:rPr>
          <w:sz w:val="18"/>
          <w:szCs w:val="18"/>
        </w:rPr>
        <w:t>+10% - +20%</w:t>
      </w:r>
    </w:p>
    <w:p w14:paraId="4D0F7139" w14:textId="77777777" w:rsidR="00817C1B" w:rsidRDefault="00392EBA">
      <w:pPr>
        <w:jc w:val="center"/>
        <w:rPr>
          <w:sz w:val="18"/>
          <w:szCs w:val="18"/>
        </w:rPr>
      </w:pPr>
      <w:r>
        <w:rPr>
          <w:noProof/>
          <w:sz w:val="18"/>
          <w:szCs w:val="18"/>
        </w:rPr>
        <w:lastRenderedPageBreak/>
        <w:drawing>
          <wp:inline distT="114300" distB="114300" distL="114300" distR="114300" wp14:anchorId="75ECF0E4" wp14:editId="1DE25484">
            <wp:extent cx="7052400" cy="3416300"/>
            <wp:effectExtent l="0" t="0" r="0" b="0"/>
            <wp:docPr id="138" name="image133.jpg"/>
            <wp:cNvGraphicFramePr/>
            <a:graphic xmlns:a="http://schemas.openxmlformats.org/drawingml/2006/main">
              <a:graphicData uri="http://schemas.openxmlformats.org/drawingml/2006/picture">
                <pic:pic xmlns:pic="http://schemas.openxmlformats.org/drawingml/2006/picture">
                  <pic:nvPicPr>
                    <pic:cNvPr id="0" name="image133.jpg"/>
                    <pic:cNvPicPr preferRelativeResize="0"/>
                  </pic:nvPicPr>
                  <pic:blipFill>
                    <a:blip r:embed="rId105"/>
                    <a:srcRect/>
                    <a:stretch>
                      <a:fillRect/>
                    </a:stretch>
                  </pic:blipFill>
                  <pic:spPr>
                    <a:xfrm>
                      <a:off x="0" y="0"/>
                      <a:ext cx="7052400" cy="3416300"/>
                    </a:xfrm>
                    <a:prstGeom prst="rect">
                      <a:avLst/>
                    </a:prstGeom>
                    <a:ln/>
                  </pic:spPr>
                </pic:pic>
              </a:graphicData>
            </a:graphic>
          </wp:inline>
        </w:drawing>
      </w:r>
    </w:p>
    <w:p w14:paraId="64778194" w14:textId="77777777" w:rsidR="00817C1B" w:rsidRDefault="00392EBA">
      <w:pPr>
        <w:jc w:val="center"/>
        <w:rPr>
          <w:sz w:val="18"/>
          <w:szCs w:val="18"/>
        </w:rPr>
      </w:pPr>
      <w:r>
        <w:br w:type="page"/>
      </w:r>
    </w:p>
    <w:p w14:paraId="57B2FDDB" w14:textId="77777777" w:rsidR="00817C1B" w:rsidRDefault="00392EBA">
      <w:pPr>
        <w:jc w:val="center"/>
        <w:rPr>
          <w:sz w:val="18"/>
          <w:szCs w:val="18"/>
        </w:rPr>
      </w:pPr>
      <w:r>
        <w:rPr>
          <w:sz w:val="18"/>
          <w:szCs w:val="18"/>
        </w:rPr>
        <w:lastRenderedPageBreak/>
        <w:t>Chart 25c:  Density of Differences in MAR Ratios - Compared to B&amp;H QQQ w/o Hedges - QQQ Yearly Change: +10% - +20%</w:t>
      </w:r>
    </w:p>
    <w:p w14:paraId="08C19467" w14:textId="77777777" w:rsidR="00817C1B" w:rsidRDefault="00392EBA">
      <w:pPr>
        <w:jc w:val="center"/>
        <w:rPr>
          <w:sz w:val="18"/>
          <w:szCs w:val="18"/>
        </w:rPr>
      </w:pPr>
      <w:r>
        <w:rPr>
          <w:noProof/>
          <w:sz w:val="18"/>
          <w:szCs w:val="18"/>
        </w:rPr>
        <w:drawing>
          <wp:inline distT="114300" distB="114300" distL="114300" distR="114300" wp14:anchorId="0ED0FED5" wp14:editId="02CCF1AC">
            <wp:extent cx="7052400" cy="3416300"/>
            <wp:effectExtent l="0" t="0" r="0" b="0"/>
            <wp:docPr id="149" name="image143.jpg"/>
            <wp:cNvGraphicFramePr/>
            <a:graphic xmlns:a="http://schemas.openxmlformats.org/drawingml/2006/main">
              <a:graphicData uri="http://schemas.openxmlformats.org/drawingml/2006/picture">
                <pic:pic xmlns:pic="http://schemas.openxmlformats.org/drawingml/2006/picture">
                  <pic:nvPicPr>
                    <pic:cNvPr id="0" name="image143.jpg"/>
                    <pic:cNvPicPr preferRelativeResize="0"/>
                  </pic:nvPicPr>
                  <pic:blipFill>
                    <a:blip r:embed="rId106"/>
                    <a:srcRect/>
                    <a:stretch>
                      <a:fillRect/>
                    </a:stretch>
                  </pic:blipFill>
                  <pic:spPr>
                    <a:xfrm>
                      <a:off x="0" y="0"/>
                      <a:ext cx="7052400" cy="3416300"/>
                    </a:xfrm>
                    <a:prstGeom prst="rect">
                      <a:avLst/>
                    </a:prstGeom>
                    <a:ln/>
                  </pic:spPr>
                </pic:pic>
              </a:graphicData>
            </a:graphic>
          </wp:inline>
        </w:drawing>
      </w:r>
    </w:p>
    <w:p w14:paraId="0566DEBB" w14:textId="77777777" w:rsidR="00817C1B" w:rsidRDefault="00817C1B">
      <w:pPr>
        <w:jc w:val="center"/>
        <w:rPr>
          <w:sz w:val="18"/>
          <w:szCs w:val="18"/>
        </w:rPr>
      </w:pPr>
    </w:p>
    <w:p w14:paraId="567B5EF5" w14:textId="77777777" w:rsidR="00817C1B" w:rsidRDefault="00392EBA">
      <w:pPr>
        <w:jc w:val="center"/>
        <w:rPr>
          <w:sz w:val="18"/>
          <w:szCs w:val="18"/>
        </w:rPr>
      </w:pPr>
      <w:r>
        <w:rPr>
          <w:sz w:val="18"/>
          <w:szCs w:val="18"/>
        </w:rPr>
        <w:t>Chart 25d:  Density of Differences in Maximum Drawdowns - Compared to B&amp;H QQQ w/o Hedges - QQQ Yearly Change: +10% - +20%</w:t>
      </w:r>
    </w:p>
    <w:p w14:paraId="55F6D197" w14:textId="77777777" w:rsidR="00817C1B" w:rsidRDefault="00392EBA">
      <w:pPr>
        <w:jc w:val="center"/>
        <w:rPr>
          <w:sz w:val="18"/>
          <w:szCs w:val="18"/>
        </w:rPr>
      </w:pPr>
      <w:r>
        <w:rPr>
          <w:noProof/>
          <w:sz w:val="18"/>
          <w:szCs w:val="18"/>
        </w:rPr>
        <w:drawing>
          <wp:inline distT="114300" distB="114300" distL="114300" distR="114300" wp14:anchorId="0B60011F" wp14:editId="7D17A720">
            <wp:extent cx="7052400" cy="3416300"/>
            <wp:effectExtent l="0" t="0" r="0" b="0"/>
            <wp:docPr id="61" name="image59.jpg"/>
            <wp:cNvGraphicFramePr/>
            <a:graphic xmlns:a="http://schemas.openxmlformats.org/drawingml/2006/main">
              <a:graphicData uri="http://schemas.openxmlformats.org/drawingml/2006/picture">
                <pic:pic xmlns:pic="http://schemas.openxmlformats.org/drawingml/2006/picture">
                  <pic:nvPicPr>
                    <pic:cNvPr id="0" name="image59.jpg"/>
                    <pic:cNvPicPr preferRelativeResize="0"/>
                  </pic:nvPicPr>
                  <pic:blipFill>
                    <a:blip r:embed="rId107"/>
                    <a:srcRect/>
                    <a:stretch>
                      <a:fillRect/>
                    </a:stretch>
                  </pic:blipFill>
                  <pic:spPr>
                    <a:xfrm>
                      <a:off x="0" y="0"/>
                      <a:ext cx="7052400" cy="3416300"/>
                    </a:xfrm>
                    <a:prstGeom prst="rect">
                      <a:avLst/>
                    </a:prstGeom>
                    <a:ln/>
                  </pic:spPr>
                </pic:pic>
              </a:graphicData>
            </a:graphic>
          </wp:inline>
        </w:drawing>
      </w:r>
    </w:p>
    <w:p w14:paraId="78D37FF8" w14:textId="77777777" w:rsidR="00817C1B" w:rsidRDefault="00392EBA">
      <w:pPr>
        <w:jc w:val="center"/>
        <w:rPr>
          <w:sz w:val="18"/>
          <w:szCs w:val="18"/>
        </w:rPr>
      </w:pPr>
      <w:r>
        <w:br w:type="page"/>
      </w:r>
    </w:p>
    <w:p w14:paraId="64E13F6F" w14:textId="77777777" w:rsidR="00817C1B" w:rsidRDefault="00392EBA">
      <w:pPr>
        <w:jc w:val="center"/>
        <w:rPr>
          <w:sz w:val="18"/>
          <w:szCs w:val="18"/>
        </w:rPr>
      </w:pPr>
      <w:r>
        <w:rPr>
          <w:sz w:val="18"/>
          <w:szCs w:val="18"/>
        </w:rPr>
        <w:lastRenderedPageBreak/>
        <w:t>Table 10e: Performance indicators of differences compared to B&amp;H QQQ w/o Hedges - QQQ Yearly Change: +10% - +20%</w:t>
      </w:r>
    </w:p>
    <w:p w14:paraId="304B665C" w14:textId="77777777" w:rsidR="00817C1B" w:rsidRDefault="00392EBA">
      <w:pPr>
        <w:jc w:val="center"/>
        <w:rPr>
          <w:sz w:val="18"/>
          <w:szCs w:val="18"/>
        </w:rPr>
      </w:pPr>
      <w:r>
        <w:rPr>
          <w:noProof/>
          <w:sz w:val="18"/>
          <w:szCs w:val="18"/>
        </w:rPr>
        <w:drawing>
          <wp:inline distT="114300" distB="114300" distL="114300" distR="114300" wp14:anchorId="0F73758C" wp14:editId="5B713B06">
            <wp:extent cx="7052400" cy="5257800"/>
            <wp:effectExtent l="0" t="0" r="0" b="0"/>
            <wp:docPr id="99" name="image101.png"/>
            <wp:cNvGraphicFramePr/>
            <a:graphic xmlns:a="http://schemas.openxmlformats.org/drawingml/2006/main">
              <a:graphicData uri="http://schemas.openxmlformats.org/drawingml/2006/picture">
                <pic:pic xmlns:pic="http://schemas.openxmlformats.org/drawingml/2006/picture">
                  <pic:nvPicPr>
                    <pic:cNvPr id="0" name="image101.png"/>
                    <pic:cNvPicPr preferRelativeResize="0"/>
                  </pic:nvPicPr>
                  <pic:blipFill>
                    <a:blip r:embed="rId108"/>
                    <a:srcRect/>
                    <a:stretch>
                      <a:fillRect/>
                    </a:stretch>
                  </pic:blipFill>
                  <pic:spPr>
                    <a:xfrm>
                      <a:off x="0" y="0"/>
                      <a:ext cx="7052400" cy="5257800"/>
                    </a:xfrm>
                    <a:prstGeom prst="rect">
                      <a:avLst/>
                    </a:prstGeom>
                    <a:ln/>
                  </pic:spPr>
                </pic:pic>
              </a:graphicData>
            </a:graphic>
          </wp:inline>
        </w:drawing>
      </w:r>
      <w:r>
        <w:br w:type="page"/>
      </w:r>
    </w:p>
    <w:p w14:paraId="57A29383" w14:textId="77777777" w:rsidR="00817C1B" w:rsidRDefault="00392EBA">
      <w:pPr>
        <w:jc w:val="both"/>
        <w:rPr>
          <w:rFonts w:ascii="Trebuchet MS" w:eastAsia="Trebuchet MS" w:hAnsi="Trebuchet MS" w:cs="Trebuchet MS"/>
          <w:b/>
          <w:color w:val="38761D"/>
          <w:sz w:val="24"/>
          <w:szCs w:val="24"/>
        </w:rPr>
      </w:pPr>
      <w:r>
        <w:rPr>
          <w:rFonts w:ascii="Trebuchet MS" w:eastAsia="Trebuchet MS" w:hAnsi="Trebuchet MS" w:cs="Trebuchet MS"/>
          <w:b/>
          <w:color w:val="38761D"/>
          <w:sz w:val="24"/>
          <w:szCs w:val="24"/>
        </w:rPr>
        <w:lastRenderedPageBreak/>
        <w:t>QQQ Yearly Change: +20% - +30%</w:t>
      </w:r>
    </w:p>
    <w:p w14:paraId="1301FC5B" w14:textId="77777777" w:rsidR="00817C1B" w:rsidRDefault="00817C1B">
      <w:pPr>
        <w:jc w:val="both"/>
        <w:rPr>
          <w:rFonts w:ascii="Trebuchet MS" w:eastAsia="Trebuchet MS" w:hAnsi="Trebuchet MS" w:cs="Trebuchet MS"/>
          <w:b/>
          <w:color w:val="38761D"/>
          <w:sz w:val="24"/>
          <w:szCs w:val="24"/>
        </w:rPr>
      </w:pPr>
    </w:p>
    <w:p w14:paraId="4E3AFAE3" w14:textId="77777777" w:rsidR="00817C1B" w:rsidRDefault="00392EBA">
      <w:pPr>
        <w:jc w:val="both"/>
      </w:pPr>
      <w:r>
        <w:t xml:space="preserve">The sixth examined group is a significantly </w:t>
      </w:r>
      <w:r>
        <w:rPr>
          <w:b/>
        </w:rPr>
        <w:t>bullish case</w:t>
      </w:r>
      <w:r>
        <w:t xml:space="preserve">: the </w:t>
      </w:r>
      <w:r>
        <w:rPr>
          <w:b/>
        </w:rPr>
        <w:t>yearly percentage change of QQQ is between 20%</w:t>
      </w:r>
      <w:r>
        <w:rPr>
          <w:b/>
        </w:rPr>
        <w:t xml:space="preserve"> and +30%</w:t>
      </w:r>
      <w:r>
        <w:t xml:space="preserve">. Only </w:t>
      </w:r>
      <w:r>
        <w:rPr>
          <w:b/>
        </w:rPr>
        <w:t xml:space="preserve">2010 was such a year from 1999 </w:t>
      </w:r>
      <w:r>
        <w:t xml:space="preserve">(~5%) (Table 8). </w:t>
      </w:r>
    </w:p>
    <w:p w14:paraId="47B7A969" w14:textId="77777777" w:rsidR="00817C1B" w:rsidRDefault="00817C1B">
      <w:pPr>
        <w:jc w:val="both"/>
      </w:pPr>
    </w:p>
    <w:p w14:paraId="6BEAFDE7" w14:textId="77777777" w:rsidR="00817C1B" w:rsidRDefault="00392EBA">
      <w:pPr>
        <w:jc w:val="both"/>
      </w:pPr>
      <w:r>
        <w:t xml:space="preserve">Chart 26a-d, Table 9f, Chart 27a-d and Table 10f show the density of performance indicators again. In this case, there are 6 subgroups based on the maximum drawdowns of ‘Pure QQQ’. </w:t>
      </w:r>
    </w:p>
    <w:p w14:paraId="311B822D" w14:textId="77777777" w:rsidR="00817C1B" w:rsidRDefault="00817C1B">
      <w:pPr>
        <w:jc w:val="both"/>
      </w:pPr>
    </w:p>
    <w:p w14:paraId="075DCA8C" w14:textId="77777777" w:rsidR="00817C1B" w:rsidRDefault="00392EBA">
      <w:pPr>
        <w:jc w:val="both"/>
      </w:pPr>
      <w:r>
        <w:t>Our fin</w:t>
      </w:r>
      <w:r>
        <w:t xml:space="preserve">dings in this case are the same as in the previous subsection: ‘Bond hedge’ would be the best choice, while the risk-reward profile of ‘Pure QQQ’ and ‘Combined’ strategies are almost identical. Thus, our </w:t>
      </w:r>
      <w:r>
        <w:rPr>
          <w:b/>
        </w:rPr>
        <w:t>strategy rank</w:t>
      </w:r>
      <w:r>
        <w:t xml:space="preserve"> in this sixth case is the following: </w:t>
      </w:r>
      <w:r>
        <w:br/>
      </w:r>
      <w:r>
        <w:rPr>
          <w:b/>
        </w:rPr>
        <w:t>‘Bond hedge’ &gt; ‘Combined’ ~ ‘Pure QQQ’ &gt;&gt; ‘Put hedge’</w:t>
      </w:r>
      <w:r>
        <w:t>.</w:t>
      </w:r>
    </w:p>
    <w:p w14:paraId="34301A4D" w14:textId="77777777" w:rsidR="00817C1B" w:rsidRDefault="00817C1B">
      <w:pPr>
        <w:jc w:val="both"/>
      </w:pPr>
    </w:p>
    <w:p w14:paraId="346DD3B7" w14:textId="77777777" w:rsidR="00817C1B" w:rsidRDefault="00392EBA">
      <w:pPr>
        <w:jc w:val="both"/>
        <w:rPr>
          <w:b/>
        </w:rPr>
      </w:pPr>
      <w:r>
        <w:t xml:space="preserve">In this case, let's look at </w:t>
      </w:r>
      <w:r>
        <w:rPr>
          <w:b/>
        </w:rPr>
        <w:t>what these numbers really mean</w:t>
      </w:r>
      <w:r>
        <w:t xml:space="preserve">. </w:t>
      </w:r>
      <w:r>
        <w:rPr>
          <w:b/>
        </w:rPr>
        <w:t>CAGR of ‘Pure QQQ’ is about 25% on average</w:t>
      </w:r>
      <w:r>
        <w:t xml:space="preserve">. If </w:t>
      </w:r>
      <w:r>
        <w:rPr>
          <w:b/>
        </w:rPr>
        <w:t>MDD is quite low, the cost of put options (they expire worthless) in ‘Put hedge’ strategy ero</w:t>
      </w:r>
      <w:r>
        <w:rPr>
          <w:b/>
        </w:rPr>
        <w:t>des almost all of the profits</w:t>
      </w:r>
      <w:r>
        <w:t>: CAGR of ‘Put hedge’ is about -15 – -18% lower (i.e. only about 7–10% profit remains) than the +25% of ‘Pure QQQ’. In contrast,</w:t>
      </w:r>
      <w:r>
        <w:rPr>
          <w:b/>
        </w:rPr>
        <w:t xml:space="preserve"> if MDD is high enough, the profit erosion of put options is only about -4.5 – -7%</w:t>
      </w:r>
      <w:r>
        <w:t xml:space="preserve">, while it </w:t>
      </w:r>
      <w:r>
        <w:rPr>
          <w:b/>
        </w:rPr>
        <w:t>decrea</w:t>
      </w:r>
      <w:r>
        <w:rPr>
          <w:b/>
        </w:rPr>
        <w:t>ses MDD with 8–10% (i.e. halves it)</w:t>
      </w:r>
      <w:r>
        <w:t>. In</w:t>
      </w:r>
      <w:r>
        <w:rPr>
          <w:b/>
        </w:rPr>
        <w:t xml:space="preserve"> ‘Bond hedge’ </w:t>
      </w:r>
      <w:r>
        <w:t>strategy, the</w:t>
      </w:r>
      <w:r>
        <w:rPr>
          <w:b/>
        </w:rPr>
        <w:t xml:space="preserve"> 60% long TLT part gives about +4% CAGR</w:t>
      </w:r>
      <w:r>
        <w:t xml:space="preserve"> to the long QQQ part on average, </w:t>
      </w:r>
      <w:r>
        <w:rPr>
          <w:b/>
        </w:rPr>
        <w:t>regardless of the MDD of QQQ</w:t>
      </w:r>
      <w:r>
        <w:t xml:space="preserve">. Furthermore, the </w:t>
      </w:r>
      <w:r>
        <w:rPr>
          <w:b/>
        </w:rPr>
        <w:t>MDD profile of ‘Bond hedge’ strategy is slightly better than in case o</w:t>
      </w:r>
      <w:r>
        <w:rPr>
          <w:b/>
        </w:rPr>
        <w:t>f ‘Pure QQQ’</w:t>
      </w:r>
      <w:r>
        <w:t>. The ‘</w:t>
      </w:r>
      <w:r>
        <w:rPr>
          <w:b/>
        </w:rPr>
        <w:t xml:space="preserve">Combined’ strategy combine the advantages of put options and long bonds also in this case: the cost of insurance (i.e. CAGR erosion) is only about -5 – -7% in case of low QQQ MDD, while almost zero in case of high MDD with nearly halved </w:t>
      </w:r>
      <w:r>
        <w:rPr>
          <w:b/>
        </w:rPr>
        <w:t>MDD.</w:t>
      </w:r>
    </w:p>
    <w:p w14:paraId="745FE1DA" w14:textId="77777777" w:rsidR="00817C1B" w:rsidRDefault="00817C1B">
      <w:pPr>
        <w:jc w:val="center"/>
        <w:rPr>
          <w:sz w:val="18"/>
          <w:szCs w:val="18"/>
        </w:rPr>
      </w:pPr>
    </w:p>
    <w:p w14:paraId="1D686840" w14:textId="77777777" w:rsidR="00817C1B" w:rsidRDefault="00817C1B">
      <w:pPr>
        <w:jc w:val="center"/>
        <w:rPr>
          <w:sz w:val="18"/>
          <w:szCs w:val="18"/>
        </w:rPr>
      </w:pPr>
    </w:p>
    <w:p w14:paraId="4974230F" w14:textId="77777777" w:rsidR="00817C1B" w:rsidRDefault="00392EBA">
      <w:pPr>
        <w:jc w:val="center"/>
        <w:rPr>
          <w:sz w:val="18"/>
          <w:szCs w:val="18"/>
        </w:rPr>
      </w:pPr>
      <w:r>
        <w:rPr>
          <w:sz w:val="18"/>
          <w:szCs w:val="18"/>
        </w:rPr>
        <w:t>Chart 26a:  Density of CAGRs - QQQ Yearly Change: +20% - +30%</w:t>
      </w:r>
    </w:p>
    <w:p w14:paraId="0771DF0E" w14:textId="77777777" w:rsidR="00817C1B" w:rsidRDefault="00392EBA">
      <w:pPr>
        <w:jc w:val="center"/>
        <w:rPr>
          <w:sz w:val="18"/>
          <w:szCs w:val="18"/>
        </w:rPr>
      </w:pPr>
      <w:r>
        <w:rPr>
          <w:noProof/>
          <w:sz w:val="18"/>
          <w:szCs w:val="18"/>
        </w:rPr>
        <w:drawing>
          <wp:inline distT="114300" distB="114300" distL="114300" distR="114300" wp14:anchorId="21F233BE" wp14:editId="63B7BC57">
            <wp:extent cx="7052400" cy="3746500"/>
            <wp:effectExtent l="0" t="0" r="0" b="0"/>
            <wp:docPr id="47" name="image42.jpg"/>
            <wp:cNvGraphicFramePr/>
            <a:graphic xmlns:a="http://schemas.openxmlformats.org/drawingml/2006/main">
              <a:graphicData uri="http://schemas.openxmlformats.org/drawingml/2006/picture">
                <pic:pic xmlns:pic="http://schemas.openxmlformats.org/drawingml/2006/picture">
                  <pic:nvPicPr>
                    <pic:cNvPr id="0" name="image42.jpg"/>
                    <pic:cNvPicPr preferRelativeResize="0"/>
                  </pic:nvPicPr>
                  <pic:blipFill>
                    <a:blip r:embed="rId109"/>
                    <a:srcRect/>
                    <a:stretch>
                      <a:fillRect/>
                    </a:stretch>
                  </pic:blipFill>
                  <pic:spPr>
                    <a:xfrm>
                      <a:off x="0" y="0"/>
                      <a:ext cx="7052400" cy="3746500"/>
                    </a:xfrm>
                    <a:prstGeom prst="rect">
                      <a:avLst/>
                    </a:prstGeom>
                    <a:ln/>
                  </pic:spPr>
                </pic:pic>
              </a:graphicData>
            </a:graphic>
          </wp:inline>
        </w:drawing>
      </w:r>
    </w:p>
    <w:p w14:paraId="3686BF14" w14:textId="77777777" w:rsidR="00817C1B" w:rsidRDefault="00392EBA">
      <w:pPr>
        <w:jc w:val="center"/>
        <w:rPr>
          <w:sz w:val="18"/>
          <w:szCs w:val="18"/>
        </w:rPr>
      </w:pPr>
      <w:r>
        <w:br w:type="page"/>
      </w:r>
    </w:p>
    <w:p w14:paraId="6A5D356F" w14:textId="77777777" w:rsidR="00817C1B" w:rsidRDefault="00392EBA">
      <w:pPr>
        <w:jc w:val="center"/>
        <w:rPr>
          <w:sz w:val="18"/>
          <w:szCs w:val="18"/>
        </w:rPr>
      </w:pPr>
      <w:r>
        <w:rPr>
          <w:sz w:val="18"/>
          <w:szCs w:val="18"/>
        </w:rPr>
        <w:lastRenderedPageBreak/>
        <w:t>Chart 26b:  Density of Sharpe Ratios - QQQ Yearly Change: +20% - +30%</w:t>
      </w:r>
    </w:p>
    <w:p w14:paraId="14D7D4FE" w14:textId="77777777" w:rsidR="00817C1B" w:rsidRDefault="00392EBA">
      <w:pPr>
        <w:jc w:val="center"/>
        <w:rPr>
          <w:sz w:val="18"/>
          <w:szCs w:val="18"/>
        </w:rPr>
      </w:pPr>
      <w:r>
        <w:rPr>
          <w:noProof/>
          <w:sz w:val="18"/>
          <w:szCs w:val="18"/>
        </w:rPr>
        <w:drawing>
          <wp:inline distT="114300" distB="114300" distL="114300" distR="114300" wp14:anchorId="1AC137EA" wp14:editId="018ACB7A">
            <wp:extent cx="7052400" cy="3670300"/>
            <wp:effectExtent l="0" t="0" r="0" b="0"/>
            <wp:docPr id="5"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10"/>
                    <a:srcRect/>
                    <a:stretch>
                      <a:fillRect/>
                    </a:stretch>
                  </pic:blipFill>
                  <pic:spPr>
                    <a:xfrm>
                      <a:off x="0" y="0"/>
                      <a:ext cx="7052400" cy="3670300"/>
                    </a:xfrm>
                    <a:prstGeom prst="rect">
                      <a:avLst/>
                    </a:prstGeom>
                    <a:ln/>
                  </pic:spPr>
                </pic:pic>
              </a:graphicData>
            </a:graphic>
          </wp:inline>
        </w:drawing>
      </w:r>
    </w:p>
    <w:p w14:paraId="3712DCCE" w14:textId="77777777" w:rsidR="00817C1B" w:rsidRDefault="00817C1B">
      <w:pPr>
        <w:jc w:val="center"/>
        <w:rPr>
          <w:sz w:val="18"/>
          <w:szCs w:val="18"/>
        </w:rPr>
      </w:pPr>
    </w:p>
    <w:p w14:paraId="69AD9E14" w14:textId="77777777" w:rsidR="00817C1B" w:rsidRDefault="00392EBA">
      <w:pPr>
        <w:jc w:val="center"/>
        <w:rPr>
          <w:sz w:val="18"/>
          <w:szCs w:val="18"/>
        </w:rPr>
      </w:pPr>
      <w:r>
        <w:rPr>
          <w:sz w:val="18"/>
          <w:szCs w:val="18"/>
        </w:rPr>
        <w:t>Chart 26c:  Density of MAR Ratios - QQQ Yearly Change: +20% - +30%</w:t>
      </w:r>
    </w:p>
    <w:p w14:paraId="44965DE6" w14:textId="77777777" w:rsidR="00817C1B" w:rsidRDefault="00392EBA">
      <w:pPr>
        <w:jc w:val="center"/>
        <w:rPr>
          <w:sz w:val="18"/>
          <w:szCs w:val="18"/>
        </w:rPr>
      </w:pPr>
      <w:r>
        <w:rPr>
          <w:noProof/>
          <w:sz w:val="18"/>
          <w:szCs w:val="18"/>
        </w:rPr>
        <w:drawing>
          <wp:inline distT="114300" distB="114300" distL="114300" distR="114300" wp14:anchorId="44ACB507" wp14:editId="30A99FBE">
            <wp:extent cx="7052400" cy="4051300"/>
            <wp:effectExtent l="0" t="0" r="0" b="0"/>
            <wp:docPr id="41" name="image38.jpg"/>
            <wp:cNvGraphicFramePr/>
            <a:graphic xmlns:a="http://schemas.openxmlformats.org/drawingml/2006/main">
              <a:graphicData uri="http://schemas.openxmlformats.org/drawingml/2006/picture">
                <pic:pic xmlns:pic="http://schemas.openxmlformats.org/drawingml/2006/picture">
                  <pic:nvPicPr>
                    <pic:cNvPr id="0" name="image38.jpg"/>
                    <pic:cNvPicPr preferRelativeResize="0"/>
                  </pic:nvPicPr>
                  <pic:blipFill>
                    <a:blip r:embed="rId111"/>
                    <a:srcRect/>
                    <a:stretch>
                      <a:fillRect/>
                    </a:stretch>
                  </pic:blipFill>
                  <pic:spPr>
                    <a:xfrm>
                      <a:off x="0" y="0"/>
                      <a:ext cx="7052400" cy="4051300"/>
                    </a:xfrm>
                    <a:prstGeom prst="rect">
                      <a:avLst/>
                    </a:prstGeom>
                    <a:ln/>
                  </pic:spPr>
                </pic:pic>
              </a:graphicData>
            </a:graphic>
          </wp:inline>
        </w:drawing>
      </w:r>
    </w:p>
    <w:p w14:paraId="579D2B54" w14:textId="77777777" w:rsidR="00817C1B" w:rsidRDefault="00392EBA">
      <w:pPr>
        <w:jc w:val="center"/>
        <w:rPr>
          <w:sz w:val="18"/>
          <w:szCs w:val="18"/>
        </w:rPr>
      </w:pPr>
      <w:r>
        <w:br w:type="page"/>
      </w:r>
    </w:p>
    <w:p w14:paraId="43940923" w14:textId="77777777" w:rsidR="00817C1B" w:rsidRDefault="00392EBA">
      <w:pPr>
        <w:jc w:val="center"/>
        <w:rPr>
          <w:sz w:val="18"/>
          <w:szCs w:val="18"/>
        </w:rPr>
      </w:pPr>
      <w:r>
        <w:rPr>
          <w:sz w:val="18"/>
          <w:szCs w:val="18"/>
        </w:rPr>
        <w:lastRenderedPageBreak/>
        <w:t>Chart 26d:  Density of Maximum Drawdowns - QQQ Yearly Change: +20% - +30%</w:t>
      </w:r>
    </w:p>
    <w:p w14:paraId="212F5277" w14:textId="77777777" w:rsidR="00817C1B" w:rsidRDefault="00392EBA">
      <w:pPr>
        <w:jc w:val="center"/>
        <w:rPr>
          <w:sz w:val="18"/>
          <w:szCs w:val="18"/>
        </w:rPr>
      </w:pPr>
      <w:r>
        <w:rPr>
          <w:noProof/>
          <w:sz w:val="18"/>
          <w:szCs w:val="18"/>
        </w:rPr>
        <w:drawing>
          <wp:inline distT="114300" distB="114300" distL="114300" distR="114300" wp14:anchorId="766204ED" wp14:editId="2963EE30">
            <wp:extent cx="7052400" cy="4051300"/>
            <wp:effectExtent l="0" t="0" r="0" b="0"/>
            <wp:docPr id="121" name="image113.jpg"/>
            <wp:cNvGraphicFramePr/>
            <a:graphic xmlns:a="http://schemas.openxmlformats.org/drawingml/2006/main">
              <a:graphicData uri="http://schemas.openxmlformats.org/drawingml/2006/picture">
                <pic:pic xmlns:pic="http://schemas.openxmlformats.org/drawingml/2006/picture">
                  <pic:nvPicPr>
                    <pic:cNvPr id="0" name="image113.jpg"/>
                    <pic:cNvPicPr preferRelativeResize="0"/>
                  </pic:nvPicPr>
                  <pic:blipFill>
                    <a:blip r:embed="rId112"/>
                    <a:srcRect/>
                    <a:stretch>
                      <a:fillRect/>
                    </a:stretch>
                  </pic:blipFill>
                  <pic:spPr>
                    <a:xfrm>
                      <a:off x="0" y="0"/>
                      <a:ext cx="7052400" cy="4051300"/>
                    </a:xfrm>
                    <a:prstGeom prst="rect">
                      <a:avLst/>
                    </a:prstGeom>
                    <a:ln/>
                  </pic:spPr>
                </pic:pic>
              </a:graphicData>
            </a:graphic>
          </wp:inline>
        </w:drawing>
      </w:r>
    </w:p>
    <w:p w14:paraId="2F7B7566" w14:textId="77777777" w:rsidR="00817C1B" w:rsidRDefault="00817C1B">
      <w:pPr>
        <w:jc w:val="center"/>
        <w:rPr>
          <w:sz w:val="18"/>
          <w:szCs w:val="18"/>
        </w:rPr>
      </w:pPr>
    </w:p>
    <w:p w14:paraId="2E539F8D" w14:textId="77777777" w:rsidR="00817C1B" w:rsidRDefault="00392EBA">
      <w:pPr>
        <w:jc w:val="center"/>
        <w:rPr>
          <w:sz w:val="18"/>
          <w:szCs w:val="18"/>
        </w:rPr>
      </w:pPr>
      <w:r>
        <w:rPr>
          <w:rFonts w:ascii="Arial Unicode MS" w:eastAsia="Arial Unicode MS" w:hAnsi="Arial Unicode MS" w:cs="Arial Unicode MS"/>
          <w:sz w:val="18"/>
          <w:szCs w:val="18"/>
        </w:rPr>
        <w:t xml:space="preserve">Table 8f: Years when QQQ Yearly Change: +20% - +30% </w:t>
      </w:r>
      <w:r>
        <w:rPr>
          <w:rFonts w:ascii="Arial Unicode MS" w:eastAsia="Arial Unicode MS" w:hAnsi="Arial Unicode MS" w:cs="Arial Unicode MS"/>
          <w:sz w:val="18"/>
          <w:szCs w:val="18"/>
        </w:rPr>
        <w:t>ー</w:t>
      </w:r>
      <w:r>
        <w:rPr>
          <w:rFonts w:ascii="Arial Unicode MS" w:eastAsia="Arial Unicode MS" w:hAnsi="Arial Unicode MS" w:cs="Arial Unicode MS"/>
          <w:sz w:val="18"/>
          <w:szCs w:val="18"/>
        </w:rPr>
        <w:t xml:space="preserve"> 1999-2019</w:t>
      </w:r>
    </w:p>
    <w:p w14:paraId="591CA15D" w14:textId="77777777" w:rsidR="00817C1B" w:rsidRDefault="00392EBA">
      <w:pPr>
        <w:jc w:val="center"/>
        <w:rPr>
          <w:sz w:val="18"/>
          <w:szCs w:val="18"/>
        </w:rPr>
      </w:pPr>
      <w:r>
        <w:rPr>
          <w:noProof/>
          <w:sz w:val="18"/>
          <w:szCs w:val="18"/>
        </w:rPr>
        <w:drawing>
          <wp:inline distT="114300" distB="114300" distL="114300" distR="114300" wp14:anchorId="79B5651A" wp14:editId="3EF48317">
            <wp:extent cx="1838325" cy="390525"/>
            <wp:effectExtent l="0" t="0" r="0" b="0"/>
            <wp:docPr id="109" name="image103.png"/>
            <wp:cNvGraphicFramePr/>
            <a:graphic xmlns:a="http://schemas.openxmlformats.org/drawingml/2006/main">
              <a:graphicData uri="http://schemas.openxmlformats.org/drawingml/2006/picture">
                <pic:pic xmlns:pic="http://schemas.openxmlformats.org/drawingml/2006/picture">
                  <pic:nvPicPr>
                    <pic:cNvPr id="0" name="image103.png"/>
                    <pic:cNvPicPr preferRelativeResize="0"/>
                  </pic:nvPicPr>
                  <pic:blipFill>
                    <a:blip r:embed="rId113"/>
                    <a:srcRect/>
                    <a:stretch>
                      <a:fillRect/>
                    </a:stretch>
                  </pic:blipFill>
                  <pic:spPr>
                    <a:xfrm>
                      <a:off x="0" y="0"/>
                      <a:ext cx="1838325" cy="390525"/>
                    </a:xfrm>
                    <a:prstGeom prst="rect">
                      <a:avLst/>
                    </a:prstGeom>
                    <a:ln/>
                  </pic:spPr>
                </pic:pic>
              </a:graphicData>
            </a:graphic>
          </wp:inline>
        </w:drawing>
      </w:r>
    </w:p>
    <w:p w14:paraId="3A674F04" w14:textId="77777777" w:rsidR="00817C1B" w:rsidRDefault="00817C1B">
      <w:pPr>
        <w:jc w:val="center"/>
        <w:rPr>
          <w:sz w:val="18"/>
          <w:szCs w:val="18"/>
        </w:rPr>
      </w:pPr>
    </w:p>
    <w:p w14:paraId="284F2B50" w14:textId="77777777" w:rsidR="00817C1B" w:rsidRDefault="00392EBA">
      <w:pPr>
        <w:jc w:val="center"/>
        <w:rPr>
          <w:sz w:val="18"/>
          <w:szCs w:val="18"/>
        </w:rPr>
      </w:pPr>
      <w:r>
        <w:rPr>
          <w:sz w:val="18"/>
          <w:szCs w:val="18"/>
        </w:rPr>
        <w:t>Table 9f: Performance indicators of different strategies - QQQ Yearly Change: +20% - +30%</w:t>
      </w:r>
    </w:p>
    <w:p w14:paraId="003D7442" w14:textId="77777777" w:rsidR="00817C1B" w:rsidRDefault="00392EBA">
      <w:pPr>
        <w:jc w:val="center"/>
        <w:rPr>
          <w:sz w:val="18"/>
          <w:szCs w:val="18"/>
        </w:rPr>
      </w:pPr>
      <w:r>
        <w:rPr>
          <w:noProof/>
          <w:sz w:val="18"/>
          <w:szCs w:val="18"/>
        </w:rPr>
        <w:drawing>
          <wp:inline distT="114300" distB="114300" distL="114300" distR="114300" wp14:anchorId="4555F1E1" wp14:editId="0D2D2D7E">
            <wp:extent cx="7052400" cy="3594100"/>
            <wp:effectExtent l="0" t="0" r="0" b="0"/>
            <wp:docPr id="104" name="image107.png"/>
            <wp:cNvGraphicFramePr/>
            <a:graphic xmlns:a="http://schemas.openxmlformats.org/drawingml/2006/main">
              <a:graphicData uri="http://schemas.openxmlformats.org/drawingml/2006/picture">
                <pic:pic xmlns:pic="http://schemas.openxmlformats.org/drawingml/2006/picture">
                  <pic:nvPicPr>
                    <pic:cNvPr id="0" name="image107.png"/>
                    <pic:cNvPicPr preferRelativeResize="0"/>
                  </pic:nvPicPr>
                  <pic:blipFill>
                    <a:blip r:embed="rId114"/>
                    <a:srcRect/>
                    <a:stretch>
                      <a:fillRect/>
                    </a:stretch>
                  </pic:blipFill>
                  <pic:spPr>
                    <a:xfrm>
                      <a:off x="0" y="0"/>
                      <a:ext cx="7052400" cy="3594100"/>
                    </a:xfrm>
                    <a:prstGeom prst="rect">
                      <a:avLst/>
                    </a:prstGeom>
                    <a:ln/>
                  </pic:spPr>
                </pic:pic>
              </a:graphicData>
            </a:graphic>
          </wp:inline>
        </w:drawing>
      </w:r>
    </w:p>
    <w:p w14:paraId="50A1B36F" w14:textId="77777777" w:rsidR="00817C1B" w:rsidRDefault="00817C1B">
      <w:pPr>
        <w:jc w:val="center"/>
        <w:rPr>
          <w:sz w:val="18"/>
          <w:szCs w:val="18"/>
        </w:rPr>
      </w:pPr>
    </w:p>
    <w:p w14:paraId="666D90A6" w14:textId="77777777" w:rsidR="00817C1B" w:rsidRDefault="00392EBA">
      <w:pPr>
        <w:jc w:val="center"/>
        <w:rPr>
          <w:sz w:val="18"/>
          <w:szCs w:val="18"/>
        </w:rPr>
      </w:pPr>
      <w:r>
        <w:rPr>
          <w:sz w:val="18"/>
          <w:szCs w:val="18"/>
        </w:rPr>
        <w:lastRenderedPageBreak/>
        <w:t>Chart 27a:  Density of Differences in CAGRs - Compared to B&amp;H QQQ w/o Hedges - QQQ Yearly Change: +20% - +30%</w:t>
      </w:r>
    </w:p>
    <w:p w14:paraId="14532B0A" w14:textId="77777777" w:rsidR="00817C1B" w:rsidRDefault="00392EBA">
      <w:pPr>
        <w:jc w:val="center"/>
        <w:rPr>
          <w:sz w:val="18"/>
          <w:szCs w:val="18"/>
        </w:rPr>
      </w:pPr>
      <w:r>
        <w:rPr>
          <w:noProof/>
          <w:sz w:val="18"/>
          <w:szCs w:val="18"/>
        </w:rPr>
        <w:drawing>
          <wp:inline distT="114300" distB="114300" distL="114300" distR="114300" wp14:anchorId="1936EBB4" wp14:editId="6AFD2351">
            <wp:extent cx="7052400" cy="3238500"/>
            <wp:effectExtent l="0" t="0" r="0" b="0"/>
            <wp:docPr id="28" name="image23.jpg"/>
            <wp:cNvGraphicFramePr/>
            <a:graphic xmlns:a="http://schemas.openxmlformats.org/drawingml/2006/main">
              <a:graphicData uri="http://schemas.openxmlformats.org/drawingml/2006/picture">
                <pic:pic xmlns:pic="http://schemas.openxmlformats.org/drawingml/2006/picture">
                  <pic:nvPicPr>
                    <pic:cNvPr id="0" name="image23.jpg"/>
                    <pic:cNvPicPr preferRelativeResize="0"/>
                  </pic:nvPicPr>
                  <pic:blipFill>
                    <a:blip r:embed="rId115"/>
                    <a:srcRect/>
                    <a:stretch>
                      <a:fillRect/>
                    </a:stretch>
                  </pic:blipFill>
                  <pic:spPr>
                    <a:xfrm>
                      <a:off x="0" y="0"/>
                      <a:ext cx="7052400" cy="3238500"/>
                    </a:xfrm>
                    <a:prstGeom prst="rect">
                      <a:avLst/>
                    </a:prstGeom>
                    <a:ln/>
                  </pic:spPr>
                </pic:pic>
              </a:graphicData>
            </a:graphic>
          </wp:inline>
        </w:drawing>
      </w:r>
    </w:p>
    <w:p w14:paraId="55A6E657" w14:textId="77777777" w:rsidR="00817C1B" w:rsidRDefault="00817C1B">
      <w:pPr>
        <w:jc w:val="center"/>
        <w:rPr>
          <w:sz w:val="18"/>
          <w:szCs w:val="18"/>
        </w:rPr>
      </w:pPr>
    </w:p>
    <w:p w14:paraId="7EDF6AEC" w14:textId="77777777" w:rsidR="00817C1B" w:rsidRDefault="00392EBA">
      <w:pPr>
        <w:jc w:val="center"/>
        <w:rPr>
          <w:sz w:val="18"/>
          <w:szCs w:val="18"/>
        </w:rPr>
      </w:pPr>
      <w:r>
        <w:rPr>
          <w:sz w:val="18"/>
          <w:szCs w:val="18"/>
        </w:rPr>
        <w:t>Chart 27b:  Density of Differences in Sharpe Ratio</w:t>
      </w:r>
      <w:r>
        <w:rPr>
          <w:sz w:val="18"/>
          <w:szCs w:val="18"/>
        </w:rPr>
        <w:t>s - Compared to B&amp;H QQQ w/o Hedges - QQQ Yearly Change: +20% - +30%</w:t>
      </w:r>
    </w:p>
    <w:p w14:paraId="5C15DF56" w14:textId="77777777" w:rsidR="00817C1B" w:rsidRDefault="00392EBA">
      <w:pPr>
        <w:jc w:val="center"/>
        <w:rPr>
          <w:sz w:val="18"/>
          <w:szCs w:val="18"/>
        </w:rPr>
      </w:pPr>
      <w:r>
        <w:rPr>
          <w:noProof/>
          <w:sz w:val="18"/>
          <w:szCs w:val="18"/>
        </w:rPr>
        <w:drawing>
          <wp:inline distT="114300" distB="114300" distL="114300" distR="114300" wp14:anchorId="0C40CCD8" wp14:editId="2CFF3C08">
            <wp:extent cx="7052400" cy="3416300"/>
            <wp:effectExtent l="0" t="0" r="0" b="0"/>
            <wp:docPr id="6"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16"/>
                    <a:srcRect/>
                    <a:stretch>
                      <a:fillRect/>
                    </a:stretch>
                  </pic:blipFill>
                  <pic:spPr>
                    <a:xfrm>
                      <a:off x="0" y="0"/>
                      <a:ext cx="7052400" cy="3416300"/>
                    </a:xfrm>
                    <a:prstGeom prst="rect">
                      <a:avLst/>
                    </a:prstGeom>
                    <a:ln/>
                  </pic:spPr>
                </pic:pic>
              </a:graphicData>
            </a:graphic>
          </wp:inline>
        </w:drawing>
      </w:r>
    </w:p>
    <w:p w14:paraId="4E25CCF8" w14:textId="77777777" w:rsidR="00817C1B" w:rsidRDefault="00392EBA">
      <w:pPr>
        <w:jc w:val="center"/>
        <w:rPr>
          <w:sz w:val="18"/>
          <w:szCs w:val="18"/>
        </w:rPr>
      </w:pPr>
      <w:r>
        <w:br w:type="page"/>
      </w:r>
    </w:p>
    <w:p w14:paraId="1B35210F" w14:textId="77777777" w:rsidR="00817C1B" w:rsidRDefault="00392EBA">
      <w:pPr>
        <w:jc w:val="center"/>
        <w:rPr>
          <w:sz w:val="18"/>
          <w:szCs w:val="18"/>
        </w:rPr>
      </w:pPr>
      <w:r>
        <w:rPr>
          <w:sz w:val="18"/>
          <w:szCs w:val="18"/>
        </w:rPr>
        <w:lastRenderedPageBreak/>
        <w:t>Chart 27c:  Density of Differences in MAR Ratios - Compared to B&amp;H QQQ w/o Hedges - QQQ Yearly Change: +20% - +30%</w:t>
      </w:r>
    </w:p>
    <w:p w14:paraId="6042038E" w14:textId="77777777" w:rsidR="00817C1B" w:rsidRDefault="00392EBA">
      <w:pPr>
        <w:jc w:val="center"/>
        <w:rPr>
          <w:sz w:val="18"/>
          <w:szCs w:val="18"/>
        </w:rPr>
      </w:pPr>
      <w:r>
        <w:rPr>
          <w:noProof/>
          <w:sz w:val="18"/>
          <w:szCs w:val="18"/>
        </w:rPr>
        <w:drawing>
          <wp:inline distT="114300" distB="114300" distL="114300" distR="114300" wp14:anchorId="56AED646" wp14:editId="0C5F0D54">
            <wp:extent cx="7052400" cy="3416300"/>
            <wp:effectExtent l="0" t="0" r="0" b="0"/>
            <wp:docPr id="139" name="image131.jpg"/>
            <wp:cNvGraphicFramePr/>
            <a:graphic xmlns:a="http://schemas.openxmlformats.org/drawingml/2006/main">
              <a:graphicData uri="http://schemas.openxmlformats.org/drawingml/2006/picture">
                <pic:pic xmlns:pic="http://schemas.openxmlformats.org/drawingml/2006/picture">
                  <pic:nvPicPr>
                    <pic:cNvPr id="0" name="image131.jpg"/>
                    <pic:cNvPicPr preferRelativeResize="0"/>
                  </pic:nvPicPr>
                  <pic:blipFill>
                    <a:blip r:embed="rId117"/>
                    <a:srcRect/>
                    <a:stretch>
                      <a:fillRect/>
                    </a:stretch>
                  </pic:blipFill>
                  <pic:spPr>
                    <a:xfrm>
                      <a:off x="0" y="0"/>
                      <a:ext cx="7052400" cy="3416300"/>
                    </a:xfrm>
                    <a:prstGeom prst="rect">
                      <a:avLst/>
                    </a:prstGeom>
                    <a:ln/>
                  </pic:spPr>
                </pic:pic>
              </a:graphicData>
            </a:graphic>
          </wp:inline>
        </w:drawing>
      </w:r>
    </w:p>
    <w:p w14:paraId="5F8F46E2" w14:textId="77777777" w:rsidR="00817C1B" w:rsidRDefault="00817C1B">
      <w:pPr>
        <w:jc w:val="center"/>
        <w:rPr>
          <w:sz w:val="18"/>
          <w:szCs w:val="18"/>
        </w:rPr>
      </w:pPr>
    </w:p>
    <w:p w14:paraId="169F4650" w14:textId="77777777" w:rsidR="00817C1B" w:rsidRDefault="00392EBA">
      <w:pPr>
        <w:jc w:val="center"/>
        <w:rPr>
          <w:sz w:val="18"/>
          <w:szCs w:val="18"/>
        </w:rPr>
      </w:pPr>
      <w:r>
        <w:rPr>
          <w:sz w:val="18"/>
          <w:szCs w:val="18"/>
        </w:rPr>
        <w:t>Chart 27d:  Density of Differences in Maximum Drawdowns - Compared</w:t>
      </w:r>
      <w:r>
        <w:rPr>
          <w:sz w:val="18"/>
          <w:szCs w:val="18"/>
        </w:rPr>
        <w:t xml:space="preserve"> to B&amp;H QQQ w/o Hedges - QQQ Yearly Change: +20% - +30%</w:t>
      </w:r>
    </w:p>
    <w:p w14:paraId="7759285A" w14:textId="77777777" w:rsidR="00817C1B" w:rsidRDefault="00392EBA">
      <w:pPr>
        <w:jc w:val="center"/>
        <w:rPr>
          <w:sz w:val="18"/>
          <w:szCs w:val="18"/>
        </w:rPr>
      </w:pPr>
      <w:r>
        <w:rPr>
          <w:noProof/>
          <w:sz w:val="18"/>
          <w:szCs w:val="18"/>
        </w:rPr>
        <w:drawing>
          <wp:inline distT="114300" distB="114300" distL="114300" distR="114300" wp14:anchorId="358F1773" wp14:editId="4D8358A4">
            <wp:extent cx="7052400" cy="3416300"/>
            <wp:effectExtent l="0" t="0" r="0" b="0"/>
            <wp:docPr id="97" name="image105.jpg"/>
            <wp:cNvGraphicFramePr/>
            <a:graphic xmlns:a="http://schemas.openxmlformats.org/drawingml/2006/main">
              <a:graphicData uri="http://schemas.openxmlformats.org/drawingml/2006/picture">
                <pic:pic xmlns:pic="http://schemas.openxmlformats.org/drawingml/2006/picture">
                  <pic:nvPicPr>
                    <pic:cNvPr id="0" name="image105.jpg"/>
                    <pic:cNvPicPr preferRelativeResize="0"/>
                  </pic:nvPicPr>
                  <pic:blipFill>
                    <a:blip r:embed="rId118"/>
                    <a:srcRect/>
                    <a:stretch>
                      <a:fillRect/>
                    </a:stretch>
                  </pic:blipFill>
                  <pic:spPr>
                    <a:xfrm>
                      <a:off x="0" y="0"/>
                      <a:ext cx="7052400" cy="3416300"/>
                    </a:xfrm>
                    <a:prstGeom prst="rect">
                      <a:avLst/>
                    </a:prstGeom>
                    <a:ln/>
                  </pic:spPr>
                </pic:pic>
              </a:graphicData>
            </a:graphic>
          </wp:inline>
        </w:drawing>
      </w:r>
    </w:p>
    <w:p w14:paraId="326DF4DD" w14:textId="77777777" w:rsidR="00817C1B" w:rsidRDefault="00392EBA">
      <w:pPr>
        <w:jc w:val="center"/>
        <w:rPr>
          <w:sz w:val="18"/>
          <w:szCs w:val="18"/>
        </w:rPr>
      </w:pPr>
      <w:r>
        <w:br w:type="page"/>
      </w:r>
    </w:p>
    <w:p w14:paraId="3F5798FA" w14:textId="77777777" w:rsidR="00817C1B" w:rsidRDefault="00392EBA">
      <w:pPr>
        <w:jc w:val="center"/>
        <w:rPr>
          <w:sz w:val="18"/>
          <w:szCs w:val="18"/>
        </w:rPr>
      </w:pPr>
      <w:r>
        <w:rPr>
          <w:sz w:val="18"/>
          <w:szCs w:val="18"/>
        </w:rPr>
        <w:lastRenderedPageBreak/>
        <w:t>Table 10f: Performance indicators of differences compared to B&amp;H QQQ w/o Hedges - QQQ Yearly Change: +20% - +30%</w:t>
      </w:r>
    </w:p>
    <w:p w14:paraId="1E948EBB" w14:textId="77777777" w:rsidR="00817C1B" w:rsidRDefault="00392EBA">
      <w:pPr>
        <w:jc w:val="center"/>
        <w:rPr>
          <w:sz w:val="18"/>
          <w:szCs w:val="18"/>
        </w:rPr>
      </w:pPr>
      <w:r>
        <w:rPr>
          <w:noProof/>
          <w:sz w:val="18"/>
          <w:szCs w:val="18"/>
        </w:rPr>
        <w:drawing>
          <wp:inline distT="114300" distB="114300" distL="114300" distR="114300" wp14:anchorId="42EC5874" wp14:editId="000A41EC">
            <wp:extent cx="7052400" cy="4635500"/>
            <wp:effectExtent l="0" t="0" r="0" b="0"/>
            <wp:docPr id="57" name="image64.png"/>
            <wp:cNvGraphicFramePr/>
            <a:graphic xmlns:a="http://schemas.openxmlformats.org/drawingml/2006/main">
              <a:graphicData uri="http://schemas.openxmlformats.org/drawingml/2006/picture">
                <pic:pic xmlns:pic="http://schemas.openxmlformats.org/drawingml/2006/picture">
                  <pic:nvPicPr>
                    <pic:cNvPr id="0" name="image64.png"/>
                    <pic:cNvPicPr preferRelativeResize="0"/>
                  </pic:nvPicPr>
                  <pic:blipFill>
                    <a:blip r:embed="rId119"/>
                    <a:srcRect/>
                    <a:stretch>
                      <a:fillRect/>
                    </a:stretch>
                  </pic:blipFill>
                  <pic:spPr>
                    <a:xfrm>
                      <a:off x="0" y="0"/>
                      <a:ext cx="7052400" cy="4635500"/>
                    </a:xfrm>
                    <a:prstGeom prst="rect">
                      <a:avLst/>
                    </a:prstGeom>
                    <a:ln/>
                  </pic:spPr>
                </pic:pic>
              </a:graphicData>
            </a:graphic>
          </wp:inline>
        </w:drawing>
      </w:r>
      <w:r>
        <w:br w:type="page"/>
      </w:r>
    </w:p>
    <w:p w14:paraId="44346297" w14:textId="77777777" w:rsidR="00817C1B" w:rsidRDefault="00392EBA">
      <w:pPr>
        <w:jc w:val="both"/>
      </w:pPr>
      <w:r>
        <w:rPr>
          <w:rFonts w:ascii="Trebuchet MS" w:eastAsia="Trebuchet MS" w:hAnsi="Trebuchet MS" w:cs="Trebuchet MS"/>
          <w:b/>
          <w:color w:val="38761D"/>
          <w:sz w:val="24"/>
          <w:szCs w:val="24"/>
        </w:rPr>
        <w:lastRenderedPageBreak/>
        <w:t>QQQ Yearly Change: +30% - +40%</w:t>
      </w:r>
    </w:p>
    <w:p w14:paraId="28B71FB6" w14:textId="77777777" w:rsidR="00817C1B" w:rsidRDefault="00817C1B">
      <w:pPr>
        <w:jc w:val="both"/>
      </w:pPr>
    </w:p>
    <w:p w14:paraId="14484F54" w14:textId="77777777" w:rsidR="00817C1B" w:rsidRDefault="00392EBA">
      <w:pPr>
        <w:jc w:val="both"/>
      </w:pPr>
      <w:r>
        <w:t xml:space="preserve">The seventh examined group is a considerably </w:t>
      </w:r>
      <w:r>
        <w:rPr>
          <w:b/>
        </w:rPr>
        <w:t>bul</w:t>
      </w:r>
      <w:r>
        <w:rPr>
          <w:b/>
        </w:rPr>
        <w:t>lish case</w:t>
      </w:r>
      <w:r>
        <w:t xml:space="preserve">: the </w:t>
      </w:r>
      <w:r>
        <w:rPr>
          <w:b/>
        </w:rPr>
        <w:t>yearly percentage change of QQQ is between 30% and +40%</w:t>
      </w:r>
      <w:r>
        <w:t xml:space="preserve">. </w:t>
      </w:r>
      <w:r>
        <w:rPr>
          <w:b/>
        </w:rPr>
        <w:t>2013, 2017 and 2019 (until the end of November) were such years from 1999, which is almost 15% of years</w:t>
      </w:r>
      <w:r>
        <w:t xml:space="preserve"> (Table 8). </w:t>
      </w:r>
    </w:p>
    <w:p w14:paraId="3518048F" w14:textId="77777777" w:rsidR="00817C1B" w:rsidRDefault="00817C1B">
      <w:pPr>
        <w:jc w:val="both"/>
      </w:pPr>
    </w:p>
    <w:p w14:paraId="7573C0E1" w14:textId="77777777" w:rsidR="00817C1B" w:rsidRDefault="00392EBA">
      <w:pPr>
        <w:jc w:val="both"/>
      </w:pPr>
      <w:r>
        <w:t xml:space="preserve">Chart 28a-d, Table 9g, Chart 29a-d and Table 10g show the density of performance indicators again. In this case, there are 6 subgroups based on the maximum drawdowns of ‘Pure QQQ’. </w:t>
      </w:r>
    </w:p>
    <w:p w14:paraId="74BB7D42" w14:textId="77777777" w:rsidR="00817C1B" w:rsidRDefault="00817C1B">
      <w:pPr>
        <w:jc w:val="both"/>
      </w:pPr>
    </w:p>
    <w:p w14:paraId="57C14130" w14:textId="77777777" w:rsidR="00817C1B" w:rsidRDefault="00392EBA">
      <w:pPr>
        <w:jc w:val="both"/>
      </w:pPr>
      <w:r>
        <w:t xml:space="preserve">Now, </w:t>
      </w:r>
      <w:r>
        <w:rPr>
          <w:b/>
        </w:rPr>
        <w:t>our conclusion did not change</w:t>
      </w:r>
      <w:r>
        <w:t xml:space="preserve">: </w:t>
      </w:r>
      <w:r>
        <w:rPr>
          <w:b/>
        </w:rPr>
        <w:t>long TLT usually can increase profita</w:t>
      </w:r>
      <w:r>
        <w:rPr>
          <w:b/>
        </w:rPr>
        <w:t>bility even in considerably bullish QQQ case, which makes ‘Bond hedge’ attractive again. ‘Combined’ strategy is suffering from the put option part (lower CAGR), but has slightly lower volatility (higher Sharpe ratio) and maximum drawdown (higher MAR ratio)</w:t>
      </w:r>
      <w:r>
        <w:rPr>
          <w:b/>
        </w:rPr>
        <w:t xml:space="preserve"> than ‘Pure QQQ’</w:t>
      </w:r>
      <w:r>
        <w:t xml:space="preserve">. Thus, our </w:t>
      </w:r>
      <w:r>
        <w:rPr>
          <w:b/>
        </w:rPr>
        <w:t>strategy rank</w:t>
      </w:r>
      <w:r>
        <w:t xml:space="preserve"> in this seventh case is the following: </w:t>
      </w:r>
      <w:r>
        <w:br/>
      </w:r>
      <w:r>
        <w:rPr>
          <w:b/>
        </w:rPr>
        <w:t>‘Bond hedge’ &gt; ‘Combined’ ~ ‘Pure QQQ’ &gt;&gt; ‘Put hedge’</w:t>
      </w:r>
      <w:r>
        <w:t>.</w:t>
      </w:r>
    </w:p>
    <w:p w14:paraId="2BEEC427" w14:textId="77777777" w:rsidR="00817C1B" w:rsidRDefault="00817C1B">
      <w:pPr>
        <w:jc w:val="both"/>
      </w:pPr>
    </w:p>
    <w:p w14:paraId="01E7CD5C" w14:textId="77777777" w:rsidR="00817C1B" w:rsidRDefault="00817C1B">
      <w:pPr>
        <w:jc w:val="center"/>
        <w:rPr>
          <w:sz w:val="18"/>
          <w:szCs w:val="18"/>
        </w:rPr>
      </w:pPr>
    </w:p>
    <w:p w14:paraId="34BDF6F3" w14:textId="77777777" w:rsidR="00817C1B" w:rsidRDefault="00392EBA">
      <w:pPr>
        <w:jc w:val="center"/>
        <w:rPr>
          <w:sz w:val="18"/>
          <w:szCs w:val="18"/>
        </w:rPr>
      </w:pPr>
      <w:r>
        <w:rPr>
          <w:sz w:val="18"/>
          <w:szCs w:val="18"/>
        </w:rPr>
        <w:t>Chart 28a:  Density of CAGRs - QQQ Yearly Change: +30% - +40%</w:t>
      </w:r>
    </w:p>
    <w:p w14:paraId="76B7886A" w14:textId="77777777" w:rsidR="00817C1B" w:rsidRDefault="00392EBA">
      <w:pPr>
        <w:jc w:val="center"/>
        <w:rPr>
          <w:sz w:val="18"/>
          <w:szCs w:val="18"/>
        </w:rPr>
      </w:pPr>
      <w:r>
        <w:rPr>
          <w:noProof/>
          <w:sz w:val="18"/>
          <w:szCs w:val="18"/>
        </w:rPr>
        <w:drawing>
          <wp:inline distT="114300" distB="114300" distL="114300" distR="114300" wp14:anchorId="248F9DCE" wp14:editId="34A59B9D">
            <wp:extent cx="7052400" cy="3187700"/>
            <wp:effectExtent l="0" t="0" r="0" b="0"/>
            <wp:docPr id="105" name="image98.jpg"/>
            <wp:cNvGraphicFramePr/>
            <a:graphic xmlns:a="http://schemas.openxmlformats.org/drawingml/2006/main">
              <a:graphicData uri="http://schemas.openxmlformats.org/drawingml/2006/picture">
                <pic:pic xmlns:pic="http://schemas.openxmlformats.org/drawingml/2006/picture">
                  <pic:nvPicPr>
                    <pic:cNvPr id="0" name="image98.jpg"/>
                    <pic:cNvPicPr preferRelativeResize="0"/>
                  </pic:nvPicPr>
                  <pic:blipFill>
                    <a:blip r:embed="rId120"/>
                    <a:srcRect/>
                    <a:stretch>
                      <a:fillRect/>
                    </a:stretch>
                  </pic:blipFill>
                  <pic:spPr>
                    <a:xfrm>
                      <a:off x="0" y="0"/>
                      <a:ext cx="7052400" cy="3187700"/>
                    </a:xfrm>
                    <a:prstGeom prst="rect">
                      <a:avLst/>
                    </a:prstGeom>
                    <a:ln/>
                  </pic:spPr>
                </pic:pic>
              </a:graphicData>
            </a:graphic>
          </wp:inline>
        </w:drawing>
      </w:r>
    </w:p>
    <w:p w14:paraId="79F94DEE" w14:textId="77777777" w:rsidR="00817C1B" w:rsidRDefault="00392EBA">
      <w:pPr>
        <w:jc w:val="center"/>
        <w:rPr>
          <w:sz w:val="18"/>
          <w:szCs w:val="18"/>
        </w:rPr>
      </w:pPr>
      <w:r>
        <w:br w:type="page"/>
      </w:r>
    </w:p>
    <w:p w14:paraId="6C2F9460" w14:textId="77777777" w:rsidR="00817C1B" w:rsidRDefault="00392EBA">
      <w:pPr>
        <w:jc w:val="center"/>
        <w:rPr>
          <w:sz w:val="18"/>
          <w:szCs w:val="18"/>
        </w:rPr>
      </w:pPr>
      <w:r>
        <w:rPr>
          <w:sz w:val="18"/>
          <w:szCs w:val="18"/>
        </w:rPr>
        <w:lastRenderedPageBreak/>
        <w:t>Chart 28b:  Density of Sharpe Ratios - QQQ Yearly C</w:t>
      </w:r>
      <w:r>
        <w:rPr>
          <w:sz w:val="18"/>
          <w:szCs w:val="18"/>
        </w:rPr>
        <w:t>hange: +30% - +40%</w:t>
      </w:r>
    </w:p>
    <w:p w14:paraId="785C1CE2" w14:textId="77777777" w:rsidR="00817C1B" w:rsidRDefault="00392EBA">
      <w:pPr>
        <w:jc w:val="center"/>
        <w:rPr>
          <w:sz w:val="18"/>
          <w:szCs w:val="18"/>
        </w:rPr>
      </w:pPr>
      <w:r>
        <w:rPr>
          <w:noProof/>
          <w:sz w:val="18"/>
          <w:szCs w:val="18"/>
        </w:rPr>
        <w:drawing>
          <wp:inline distT="114300" distB="114300" distL="114300" distR="114300" wp14:anchorId="504FAADA" wp14:editId="1B5A5EB7">
            <wp:extent cx="7052400" cy="3670300"/>
            <wp:effectExtent l="0" t="0" r="0" b="0"/>
            <wp:docPr id="122" name="image117.jpg"/>
            <wp:cNvGraphicFramePr/>
            <a:graphic xmlns:a="http://schemas.openxmlformats.org/drawingml/2006/main">
              <a:graphicData uri="http://schemas.openxmlformats.org/drawingml/2006/picture">
                <pic:pic xmlns:pic="http://schemas.openxmlformats.org/drawingml/2006/picture">
                  <pic:nvPicPr>
                    <pic:cNvPr id="0" name="image117.jpg"/>
                    <pic:cNvPicPr preferRelativeResize="0"/>
                  </pic:nvPicPr>
                  <pic:blipFill>
                    <a:blip r:embed="rId121"/>
                    <a:srcRect/>
                    <a:stretch>
                      <a:fillRect/>
                    </a:stretch>
                  </pic:blipFill>
                  <pic:spPr>
                    <a:xfrm>
                      <a:off x="0" y="0"/>
                      <a:ext cx="7052400" cy="3670300"/>
                    </a:xfrm>
                    <a:prstGeom prst="rect">
                      <a:avLst/>
                    </a:prstGeom>
                    <a:ln/>
                  </pic:spPr>
                </pic:pic>
              </a:graphicData>
            </a:graphic>
          </wp:inline>
        </w:drawing>
      </w:r>
    </w:p>
    <w:p w14:paraId="00CD0D9B" w14:textId="77777777" w:rsidR="00817C1B" w:rsidRDefault="00817C1B">
      <w:pPr>
        <w:jc w:val="center"/>
        <w:rPr>
          <w:sz w:val="18"/>
          <w:szCs w:val="18"/>
        </w:rPr>
      </w:pPr>
    </w:p>
    <w:p w14:paraId="558F9E64" w14:textId="77777777" w:rsidR="00817C1B" w:rsidRDefault="00392EBA">
      <w:pPr>
        <w:jc w:val="center"/>
        <w:rPr>
          <w:sz w:val="18"/>
          <w:szCs w:val="18"/>
        </w:rPr>
      </w:pPr>
      <w:r>
        <w:rPr>
          <w:sz w:val="18"/>
          <w:szCs w:val="18"/>
        </w:rPr>
        <w:t>Chart 28c:  Density of MAR Ratios - QQQ Yearly Change: +30% - +40%</w:t>
      </w:r>
    </w:p>
    <w:p w14:paraId="01BC4D2E" w14:textId="77777777" w:rsidR="00817C1B" w:rsidRDefault="00392EBA">
      <w:pPr>
        <w:jc w:val="center"/>
        <w:rPr>
          <w:sz w:val="18"/>
          <w:szCs w:val="18"/>
        </w:rPr>
      </w:pPr>
      <w:r>
        <w:rPr>
          <w:noProof/>
          <w:sz w:val="18"/>
          <w:szCs w:val="18"/>
        </w:rPr>
        <w:drawing>
          <wp:inline distT="114300" distB="114300" distL="114300" distR="114300" wp14:anchorId="74F04D12" wp14:editId="41C9AD64">
            <wp:extent cx="7052400" cy="3810000"/>
            <wp:effectExtent l="0" t="0" r="0" b="0"/>
            <wp:docPr id="39" name="image50.jpg"/>
            <wp:cNvGraphicFramePr/>
            <a:graphic xmlns:a="http://schemas.openxmlformats.org/drawingml/2006/main">
              <a:graphicData uri="http://schemas.openxmlformats.org/drawingml/2006/picture">
                <pic:pic xmlns:pic="http://schemas.openxmlformats.org/drawingml/2006/picture">
                  <pic:nvPicPr>
                    <pic:cNvPr id="0" name="image50.jpg"/>
                    <pic:cNvPicPr preferRelativeResize="0"/>
                  </pic:nvPicPr>
                  <pic:blipFill>
                    <a:blip r:embed="rId122"/>
                    <a:srcRect/>
                    <a:stretch>
                      <a:fillRect/>
                    </a:stretch>
                  </pic:blipFill>
                  <pic:spPr>
                    <a:xfrm>
                      <a:off x="0" y="0"/>
                      <a:ext cx="7052400" cy="3810000"/>
                    </a:xfrm>
                    <a:prstGeom prst="rect">
                      <a:avLst/>
                    </a:prstGeom>
                    <a:ln/>
                  </pic:spPr>
                </pic:pic>
              </a:graphicData>
            </a:graphic>
          </wp:inline>
        </w:drawing>
      </w:r>
    </w:p>
    <w:p w14:paraId="2FE99D67" w14:textId="77777777" w:rsidR="00817C1B" w:rsidRDefault="00392EBA">
      <w:pPr>
        <w:jc w:val="center"/>
        <w:rPr>
          <w:sz w:val="18"/>
          <w:szCs w:val="18"/>
        </w:rPr>
      </w:pPr>
      <w:r>
        <w:br w:type="page"/>
      </w:r>
    </w:p>
    <w:p w14:paraId="30483B08" w14:textId="77777777" w:rsidR="00817C1B" w:rsidRDefault="00392EBA">
      <w:pPr>
        <w:jc w:val="center"/>
        <w:rPr>
          <w:sz w:val="18"/>
          <w:szCs w:val="18"/>
        </w:rPr>
      </w:pPr>
      <w:r>
        <w:rPr>
          <w:sz w:val="18"/>
          <w:szCs w:val="18"/>
        </w:rPr>
        <w:lastRenderedPageBreak/>
        <w:t>Chart 28d:  Density of Maximum Drawdowns - QQQ Yearly Change: +30% - +40%</w:t>
      </w:r>
    </w:p>
    <w:p w14:paraId="5E0D7EBE" w14:textId="77777777" w:rsidR="00817C1B" w:rsidRDefault="00392EBA">
      <w:pPr>
        <w:jc w:val="center"/>
        <w:rPr>
          <w:sz w:val="18"/>
          <w:szCs w:val="18"/>
        </w:rPr>
      </w:pPr>
      <w:r>
        <w:rPr>
          <w:noProof/>
          <w:sz w:val="18"/>
          <w:szCs w:val="18"/>
        </w:rPr>
        <w:drawing>
          <wp:inline distT="114300" distB="114300" distL="114300" distR="114300" wp14:anchorId="710DA6EC" wp14:editId="33C9A485">
            <wp:extent cx="7052400" cy="4051300"/>
            <wp:effectExtent l="0" t="0" r="0" b="0"/>
            <wp:docPr id="14"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123"/>
                    <a:srcRect/>
                    <a:stretch>
                      <a:fillRect/>
                    </a:stretch>
                  </pic:blipFill>
                  <pic:spPr>
                    <a:xfrm>
                      <a:off x="0" y="0"/>
                      <a:ext cx="7052400" cy="4051300"/>
                    </a:xfrm>
                    <a:prstGeom prst="rect">
                      <a:avLst/>
                    </a:prstGeom>
                    <a:ln/>
                  </pic:spPr>
                </pic:pic>
              </a:graphicData>
            </a:graphic>
          </wp:inline>
        </w:drawing>
      </w:r>
    </w:p>
    <w:p w14:paraId="46C41AE3" w14:textId="77777777" w:rsidR="00817C1B" w:rsidRDefault="00392EBA">
      <w:pPr>
        <w:jc w:val="center"/>
        <w:rPr>
          <w:sz w:val="18"/>
          <w:szCs w:val="18"/>
        </w:rPr>
      </w:pPr>
      <w:r>
        <w:rPr>
          <w:rFonts w:ascii="Arial Unicode MS" w:eastAsia="Arial Unicode MS" w:hAnsi="Arial Unicode MS" w:cs="Arial Unicode MS"/>
          <w:sz w:val="18"/>
          <w:szCs w:val="18"/>
        </w:rPr>
        <w:t xml:space="preserve">Table 8g: Years when QQQ Yearly Change: +30% - +40% </w:t>
      </w:r>
      <w:r>
        <w:rPr>
          <w:rFonts w:ascii="Arial Unicode MS" w:eastAsia="Arial Unicode MS" w:hAnsi="Arial Unicode MS" w:cs="Arial Unicode MS"/>
          <w:sz w:val="18"/>
          <w:szCs w:val="18"/>
        </w:rPr>
        <w:t>ー</w:t>
      </w:r>
      <w:r>
        <w:rPr>
          <w:rFonts w:ascii="Arial Unicode MS" w:eastAsia="Arial Unicode MS" w:hAnsi="Arial Unicode MS" w:cs="Arial Unicode MS"/>
          <w:sz w:val="18"/>
          <w:szCs w:val="18"/>
        </w:rPr>
        <w:t xml:space="preserve"> 1999-2019</w:t>
      </w:r>
    </w:p>
    <w:p w14:paraId="6C484476" w14:textId="77777777" w:rsidR="00817C1B" w:rsidRDefault="00392EBA">
      <w:pPr>
        <w:jc w:val="center"/>
        <w:rPr>
          <w:sz w:val="18"/>
          <w:szCs w:val="18"/>
        </w:rPr>
      </w:pPr>
      <w:r>
        <w:rPr>
          <w:noProof/>
          <w:sz w:val="18"/>
          <w:szCs w:val="18"/>
        </w:rPr>
        <w:drawing>
          <wp:inline distT="114300" distB="114300" distL="114300" distR="114300" wp14:anchorId="59B954A9" wp14:editId="35F1C923">
            <wp:extent cx="1838325" cy="771525"/>
            <wp:effectExtent l="0" t="0" r="0" b="0"/>
            <wp:docPr id="78" name="image78.png"/>
            <wp:cNvGraphicFramePr/>
            <a:graphic xmlns:a="http://schemas.openxmlformats.org/drawingml/2006/main">
              <a:graphicData uri="http://schemas.openxmlformats.org/drawingml/2006/picture">
                <pic:pic xmlns:pic="http://schemas.openxmlformats.org/drawingml/2006/picture">
                  <pic:nvPicPr>
                    <pic:cNvPr id="0" name="image78.png"/>
                    <pic:cNvPicPr preferRelativeResize="0"/>
                  </pic:nvPicPr>
                  <pic:blipFill>
                    <a:blip r:embed="rId124"/>
                    <a:srcRect/>
                    <a:stretch>
                      <a:fillRect/>
                    </a:stretch>
                  </pic:blipFill>
                  <pic:spPr>
                    <a:xfrm>
                      <a:off x="0" y="0"/>
                      <a:ext cx="1838325" cy="771525"/>
                    </a:xfrm>
                    <a:prstGeom prst="rect">
                      <a:avLst/>
                    </a:prstGeom>
                    <a:ln/>
                  </pic:spPr>
                </pic:pic>
              </a:graphicData>
            </a:graphic>
          </wp:inline>
        </w:drawing>
      </w:r>
    </w:p>
    <w:p w14:paraId="2B776671" w14:textId="77777777" w:rsidR="00817C1B" w:rsidRDefault="00817C1B">
      <w:pPr>
        <w:jc w:val="center"/>
        <w:rPr>
          <w:sz w:val="18"/>
          <w:szCs w:val="18"/>
        </w:rPr>
      </w:pPr>
    </w:p>
    <w:p w14:paraId="1EA1D565" w14:textId="77777777" w:rsidR="00817C1B" w:rsidRDefault="00392EBA">
      <w:pPr>
        <w:jc w:val="center"/>
        <w:rPr>
          <w:sz w:val="18"/>
          <w:szCs w:val="18"/>
        </w:rPr>
      </w:pPr>
      <w:r>
        <w:rPr>
          <w:sz w:val="18"/>
          <w:szCs w:val="18"/>
        </w:rPr>
        <w:t>Table 9g: Performance indicators of different strategies - QQQ Yearly Change: +30% - +40%</w:t>
      </w:r>
    </w:p>
    <w:p w14:paraId="41843D16" w14:textId="77777777" w:rsidR="00817C1B" w:rsidRDefault="00392EBA">
      <w:pPr>
        <w:jc w:val="center"/>
        <w:rPr>
          <w:sz w:val="18"/>
          <w:szCs w:val="18"/>
        </w:rPr>
      </w:pPr>
      <w:r>
        <w:rPr>
          <w:noProof/>
          <w:sz w:val="18"/>
          <w:szCs w:val="18"/>
        </w:rPr>
        <w:lastRenderedPageBreak/>
        <w:drawing>
          <wp:inline distT="114300" distB="114300" distL="114300" distR="114300" wp14:anchorId="17BE1337" wp14:editId="71F3F41A">
            <wp:extent cx="7052400" cy="3594100"/>
            <wp:effectExtent l="0" t="0" r="0" b="0"/>
            <wp:docPr id="51" name="image51.png"/>
            <wp:cNvGraphicFramePr/>
            <a:graphic xmlns:a="http://schemas.openxmlformats.org/drawingml/2006/main">
              <a:graphicData uri="http://schemas.openxmlformats.org/drawingml/2006/picture">
                <pic:pic xmlns:pic="http://schemas.openxmlformats.org/drawingml/2006/picture">
                  <pic:nvPicPr>
                    <pic:cNvPr id="0" name="image51.png"/>
                    <pic:cNvPicPr preferRelativeResize="0"/>
                  </pic:nvPicPr>
                  <pic:blipFill>
                    <a:blip r:embed="rId125"/>
                    <a:srcRect/>
                    <a:stretch>
                      <a:fillRect/>
                    </a:stretch>
                  </pic:blipFill>
                  <pic:spPr>
                    <a:xfrm>
                      <a:off x="0" y="0"/>
                      <a:ext cx="7052400" cy="3594100"/>
                    </a:xfrm>
                    <a:prstGeom prst="rect">
                      <a:avLst/>
                    </a:prstGeom>
                    <a:ln/>
                  </pic:spPr>
                </pic:pic>
              </a:graphicData>
            </a:graphic>
          </wp:inline>
        </w:drawing>
      </w:r>
    </w:p>
    <w:p w14:paraId="09285414" w14:textId="77777777" w:rsidR="00817C1B" w:rsidRDefault="00817C1B">
      <w:pPr>
        <w:jc w:val="center"/>
        <w:rPr>
          <w:sz w:val="18"/>
          <w:szCs w:val="18"/>
        </w:rPr>
      </w:pPr>
    </w:p>
    <w:p w14:paraId="6B2E49FF" w14:textId="77777777" w:rsidR="00817C1B" w:rsidRDefault="00392EBA">
      <w:pPr>
        <w:jc w:val="center"/>
        <w:rPr>
          <w:sz w:val="18"/>
          <w:szCs w:val="18"/>
        </w:rPr>
      </w:pPr>
      <w:r>
        <w:rPr>
          <w:sz w:val="18"/>
          <w:szCs w:val="18"/>
        </w:rPr>
        <w:t>Chart 29a:  Density of Differences in CAGRs - Compared to B&amp;H QQQ w/o Hedges - QQQ Yearly Change</w:t>
      </w:r>
      <w:r>
        <w:rPr>
          <w:sz w:val="18"/>
          <w:szCs w:val="18"/>
        </w:rPr>
        <w:t>: +30% - +40%</w:t>
      </w:r>
    </w:p>
    <w:p w14:paraId="69D9A775" w14:textId="77777777" w:rsidR="00817C1B" w:rsidRDefault="00392EBA">
      <w:pPr>
        <w:jc w:val="center"/>
        <w:rPr>
          <w:sz w:val="18"/>
          <w:szCs w:val="18"/>
        </w:rPr>
      </w:pPr>
      <w:r>
        <w:rPr>
          <w:noProof/>
          <w:sz w:val="18"/>
          <w:szCs w:val="18"/>
        </w:rPr>
        <w:drawing>
          <wp:inline distT="114300" distB="114300" distL="114300" distR="114300" wp14:anchorId="36E88275" wp14:editId="10E18378">
            <wp:extent cx="7052400" cy="3238500"/>
            <wp:effectExtent l="0" t="0" r="0" b="0"/>
            <wp:docPr id="126" name="image126.jpg"/>
            <wp:cNvGraphicFramePr/>
            <a:graphic xmlns:a="http://schemas.openxmlformats.org/drawingml/2006/main">
              <a:graphicData uri="http://schemas.openxmlformats.org/drawingml/2006/picture">
                <pic:pic xmlns:pic="http://schemas.openxmlformats.org/drawingml/2006/picture">
                  <pic:nvPicPr>
                    <pic:cNvPr id="0" name="image126.jpg"/>
                    <pic:cNvPicPr preferRelativeResize="0"/>
                  </pic:nvPicPr>
                  <pic:blipFill>
                    <a:blip r:embed="rId126"/>
                    <a:srcRect/>
                    <a:stretch>
                      <a:fillRect/>
                    </a:stretch>
                  </pic:blipFill>
                  <pic:spPr>
                    <a:xfrm>
                      <a:off x="0" y="0"/>
                      <a:ext cx="7052400" cy="3238500"/>
                    </a:xfrm>
                    <a:prstGeom prst="rect">
                      <a:avLst/>
                    </a:prstGeom>
                    <a:ln/>
                  </pic:spPr>
                </pic:pic>
              </a:graphicData>
            </a:graphic>
          </wp:inline>
        </w:drawing>
      </w:r>
    </w:p>
    <w:p w14:paraId="5DFA1C07" w14:textId="77777777" w:rsidR="00817C1B" w:rsidRDefault="00817C1B">
      <w:pPr>
        <w:jc w:val="center"/>
        <w:rPr>
          <w:sz w:val="18"/>
          <w:szCs w:val="18"/>
        </w:rPr>
      </w:pPr>
    </w:p>
    <w:p w14:paraId="5F12214B" w14:textId="77777777" w:rsidR="00817C1B" w:rsidRDefault="00392EBA">
      <w:pPr>
        <w:jc w:val="center"/>
        <w:rPr>
          <w:sz w:val="18"/>
          <w:szCs w:val="18"/>
        </w:rPr>
      </w:pPr>
      <w:r>
        <w:rPr>
          <w:sz w:val="18"/>
          <w:szCs w:val="18"/>
        </w:rPr>
        <w:t>Chart 29b:  Density of Differences in Sharpe Ratios - Compared to B&amp;H QQQ w/o Hedges - QQQ Yearly Change: +30% - +40%</w:t>
      </w:r>
    </w:p>
    <w:p w14:paraId="55941189" w14:textId="77777777" w:rsidR="00817C1B" w:rsidRDefault="00392EBA">
      <w:pPr>
        <w:jc w:val="center"/>
        <w:rPr>
          <w:sz w:val="18"/>
          <w:szCs w:val="18"/>
        </w:rPr>
      </w:pPr>
      <w:r>
        <w:rPr>
          <w:noProof/>
          <w:sz w:val="18"/>
          <w:szCs w:val="18"/>
        </w:rPr>
        <w:lastRenderedPageBreak/>
        <w:drawing>
          <wp:inline distT="114300" distB="114300" distL="114300" distR="114300" wp14:anchorId="367D5894" wp14:editId="01BBF246">
            <wp:extent cx="7052400" cy="3416300"/>
            <wp:effectExtent l="0" t="0" r="0" b="0"/>
            <wp:docPr id="137" name="image128.jpg"/>
            <wp:cNvGraphicFramePr/>
            <a:graphic xmlns:a="http://schemas.openxmlformats.org/drawingml/2006/main">
              <a:graphicData uri="http://schemas.openxmlformats.org/drawingml/2006/picture">
                <pic:pic xmlns:pic="http://schemas.openxmlformats.org/drawingml/2006/picture">
                  <pic:nvPicPr>
                    <pic:cNvPr id="0" name="image128.jpg"/>
                    <pic:cNvPicPr preferRelativeResize="0"/>
                  </pic:nvPicPr>
                  <pic:blipFill>
                    <a:blip r:embed="rId127"/>
                    <a:srcRect/>
                    <a:stretch>
                      <a:fillRect/>
                    </a:stretch>
                  </pic:blipFill>
                  <pic:spPr>
                    <a:xfrm>
                      <a:off x="0" y="0"/>
                      <a:ext cx="7052400" cy="3416300"/>
                    </a:xfrm>
                    <a:prstGeom prst="rect">
                      <a:avLst/>
                    </a:prstGeom>
                    <a:ln/>
                  </pic:spPr>
                </pic:pic>
              </a:graphicData>
            </a:graphic>
          </wp:inline>
        </w:drawing>
      </w:r>
    </w:p>
    <w:p w14:paraId="2C71A610" w14:textId="77777777" w:rsidR="00817C1B" w:rsidRDefault="00392EBA">
      <w:pPr>
        <w:jc w:val="center"/>
        <w:rPr>
          <w:sz w:val="18"/>
          <w:szCs w:val="18"/>
        </w:rPr>
      </w:pPr>
      <w:r>
        <w:br w:type="page"/>
      </w:r>
    </w:p>
    <w:p w14:paraId="1EFC7FDE" w14:textId="77777777" w:rsidR="00817C1B" w:rsidRDefault="00392EBA">
      <w:pPr>
        <w:jc w:val="center"/>
        <w:rPr>
          <w:sz w:val="18"/>
          <w:szCs w:val="18"/>
        </w:rPr>
      </w:pPr>
      <w:r>
        <w:rPr>
          <w:sz w:val="18"/>
          <w:szCs w:val="18"/>
        </w:rPr>
        <w:lastRenderedPageBreak/>
        <w:t>Chart 29c:  Density of Differences in MAR Ratios - Compared to B&amp;H QQQ w/o Hedges - QQQ Yearly Change: +30% - +40%</w:t>
      </w:r>
    </w:p>
    <w:p w14:paraId="57C22922" w14:textId="77777777" w:rsidR="00817C1B" w:rsidRDefault="00392EBA">
      <w:pPr>
        <w:jc w:val="center"/>
        <w:rPr>
          <w:sz w:val="18"/>
          <w:szCs w:val="18"/>
        </w:rPr>
      </w:pPr>
      <w:r>
        <w:rPr>
          <w:noProof/>
          <w:sz w:val="18"/>
          <w:szCs w:val="18"/>
        </w:rPr>
        <w:drawing>
          <wp:inline distT="114300" distB="114300" distL="114300" distR="114300" wp14:anchorId="224A0601" wp14:editId="0CD50C0A">
            <wp:extent cx="7052400" cy="3416300"/>
            <wp:effectExtent l="0" t="0" r="0" b="0"/>
            <wp:docPr id="100" name="image104.jpg"/>
            <wp:cNvGraphicFramePr/>
            <a:graphic xmlns:a="http://schemas.openxmlformats.org/drawingml/2006/main">
              <a:graphicData uri="http://schemas.openxmlformats.org/drawingml/2006/picture">
                <pic:pic xmlns:pic="http://schemas.openxmlformats.org/drawingml/2006/picture">
                  <pic:nvPicPr>
                    <pic:cNvPr id="0" name="image104.jpg"/>
                    <pic:cNvPicPr preferRelativeResize="0"/>
                  </pic:nvPicPr>
                  <pic:blipFill>
                    <a:blip r:embed="rId128"/>
                    <a:srcRect/>
                    <a:stretch>
                      <a:fillRect/>
                    </a:stretch>
                  </pic:blipFill>
                  <pic:spPr>
                    <a:xfrm>
                      <a:off x="0" y="0"/>
                      <a:ext cx="7052400" cy="3416300"/>
                    </a:xfrm>
                    <a:prstGeom prst="rect">
                      <a:avLst/>
                    </a:prstGeom>
                    <a:ln/>
                  </pic:spPr>
                </pic:pic>
              </a:graphicData>
            </a:graphic>
          </wp:inline>
        </w:drawing>
      </w:r>
    </w:p>
    <w:p w14:paraId="4EB0F41D" w14:textId="77777777" w:rsidR="00817C1B" w:rsidRDefault="00817C1B">
      <w:pPr>
        <w:jc w:val="center"/>
        <w:rPr>
          <w:sz w:val="18"/>
          <w:szCs w:val="18"/>
        </w:rPr>
      </w:pPr>
    </w:p>
    <w:p w14:paraId="7591D28D" w14:textId="77777777" w:rsidR="00817C1B" w:rsidRDefault="00392EBA">
      <w:pPr>
        <w:jc w:val="center"/>
        <w:rPr>
          <w:sz w:val="18"/>
          <w:szCs w:val="18"/>
        </w:rPr>
      </w:pPr>
      <w:r>
        <w:rPr>
          <w:sz w:val="18"/>
          <w:szCs w:val="18"/>
        </w:rPr>
        <w:t>Chart 29d:  Density of Differences in Maximum Drawdowns - Compared to B&amp;H QQQ w/o Hedges - QQQ Yearly Change: +30% - +40%</w:t>
      </w:r>
    </w:p>
    <w:p w14:paraId="76475924" w14:textId="77777777" w:rsidR="00817C1B" w:rsidRDefault="00392EBA">
      <w:pPr>
        <w:jc w:val="center"/>
        <w:rPr>
          <w:sz w:val="18"/>
          <w:szCs w:val="18"/>
        </w:rPr>
      </w:pPr>
      <w:r>
        <w:rPr>
          <w:noProof/>
          <w:sz w:val="18"/>
          <w:szCs w:val="18"/>
        </w:rPr>
        <w:drawing>
          <wp:inline distT="114300" distB="114300" distL="114300" distR="114300" wp14:anchorId="643BA489" wp14:editId="5F2411DB">
            <wp:extent cx="7052400" cy="3416300"/>
            <wp:effectExtent l="0" t="0" r="0" b="0"/>
            <wp:docPr id="31" name="image36.jpg"/>
            <wp:cNvGraphicFramePr/>
            <a:graphic xmlns:a="http://schemas.openxmlformats.org/drawingml/2006/main">
              <a:graphicData uri="http://schemas.openxmlformats.org/drawingml/2006/picture">
                <pic:pic xmlns:pic="http://schemas.openxmlformats.org/drawingml/2006/picture">
                  <pic:nvPicPr>
                    <pic:cNvPr id="0" name="image36.jpg"/>
                    <pic:cNvPicPr preferRelativeResize="0"/>
                  </pic:nvPicPr>
                  <pic:blipFill>
                    <a:blip r:embed="rId129"/>
                    <a:srcRect/>
                    <a:stretch>
                      <a:fillRect/>
                    </a:stretch>
                  </pic:blipFill>
                  <pic:spPr>
                    <a:xfrm>
                      <a:off x="0" y="0"/>
                      <a:ext cx="7052400" cy="3416300"/>
                    </a:xfrm>
                    <a:prstGeom prst="rect">
                      <a:avLst/>
                    </a:prstGeom>
                    <a:ln/>
                  </pic:spPr>
                </pic:pic>
              </a:graphicData>
            </a:graphic>
          </wp:inline>
        </w:drawing>
      </w:r>
    </w:p>
    <w:p w14:paraId="2A33A5E7" w14:textId="77777777" w:rsidR="00817C1B" w:rsidRDefault="00392EBA">
      <w:pPr>
        <w:jc w:val="center"/>
        <w:rPr>
          <w:sz w:val="18"/>
          <w:szCs w:val="18"/>
        </w:rPr>
      </w:pPr>
      <w:r>
        <w:br w:type="page"/>
      </w:r>
    </w:p>
    <w:p w14:paraId="1A705115" w14:textId="77777777" w:rsidR="00817C1B" w:rsidRDefault="00392EBA">
      <w:pPr>
        <w:jc w:val="center"/>
        <w:rPr>
          <w:sz w:val="18"/>
          <w:szCs w:val="18"/>
        </w:rPr>
      </w:pPr>
      <w:r>
        <w:rPr>
          <w:sz w:val="18"/>
          <w:szCs w:val="18"/>
        </w:rPr>
        <w:lastRenderedPageBreak/>
        <w:t>Table 10g: P</w:t>
      </w:r>
      <w:r>
        <w:rPr>
          <w:sz w:val="18"/>
          <w:szCs w:val="18"/>
        </w:rPr>
        <w:t>erformance indicators of differences compared to B&amp;H QQQ w/o Hedges - QQQ Yearly Change: +30% - +40%</w:t>
      </w:r>
    </w:p>
    <w:p w14:paraId="61E35503" w14:textId="77777777" w:rsidR="00817C1B" w:rsidRDefault="00392EBA">
      <w:pPr>
        <w:jc w:val="center"/>
        <w:rPr>
          <w:sz w:val="18"/>
          <w:szCs w:val="18"/>
        </w:rPr>
      </w:pPr>
      <w:r>
        <w:rPr>
          <w:noProof/>
          <w:sz w:val="18"/>
          <w:szCs w:val="18"/>
        </w:rPr>
        <w:drawing>
          <wp:inline distT="114300" distB="114300" distL="114300" distR="114300" wp14:anchorId="05CDE297" wp14:editId="467A8123">
            <wp:extent cx="7052400" cy="4635500"/>
            <wp:effectExtent l="0" t="0" r="0" b="0"/>
            <wp:docPr id="58" name="image56.png"/>
            <wp:cNvGraphicFramePr/>
            <a:graphic xmlns:a="http://schemas.openxmlformats.org/drawingml/2006/main">
              <a:graphicData uri="http://schemas.openxmlformats.org/drawingml/2006/picture">
                <pic:pic xmlns:pic="http://schemas.openxmlformats.org/drawingml/2006/picture">
                  <pic:nvPicPr>
                    <pic:cNvPr id="0" name="image56.png"/>
                    <pic:cNvPicPr preferRelativeResize="0"/>
                  </pic:nvPicPr>
                  <pic:blipFill>
                    <a:blip r:embed="rId130"/>
                    <a:srcRect/>
                    <a:stretch>
                      <a:fillRect/>
                    </a:stretch>
                  </pic:blipFill>
                  <pic:spPr>
                    <a:xfrm>
                      <a:off x="0" y="0"/>
                      <a:ext cx="7052400" cy="4635500"/>
                    </a:xfrm>
                    <a:prstGeom prst="rect">
                      <a:avLst/>
                    </a:prstGeom>
                    <a:ln/>
                  </pic:spPr>
                </pic:pic>
              </a:graphicData>
            </a:graphic>
          </wp:inline>
        </w:drawing>
      </w:r>
      <w:r>
        <w:br w:type="page"/>
      </w:r>
    </w:p>
    <w:p w14:paraId="694151BE" w14:textId="77777777" w:rsidR="00817C1B" w:rsidRDefault="00392EBA">
      <w:pPr>
        <w:jc w:val="both"/>
        <w:rPr>
          <w:rFonts w:ascii="Trebuchet MS" w:eastAsia="Trebuchet MS" w:hAnsi="Trebuchet MS" w:cs="Trebuchet MS"/>
          <w:b/>
          <w:color w:val="38761D"/>
          <w:sz w:val="24"/>
          <w:szCs w:val="24"/>
        </w:rPr>
      </w:pPr>
      <w:r>
        <w:rPr>
          <w:rFonts w:ascii="Trebuchet MS" w:eastAsia="Trebuchet MS" w:hAnsi="Trebuchet MS" w:cs="Trebuchet MS"/>
          <w:b/>
          <w:color w:val="38761D"/>
          <w:sz w:val="24"/>
          <w:szCs w:val="24"/>
        </w:rPr>
        <w:lastRenderedPageBreak/>
        <w:t>QQQ Yearly Change: +40% - +60%</w:t>
      </w:r>
    </w:p>
    <w:p w14:paraId="09E9D752" w14:textId="77777777" w:rsidR="00817C1B" w:rsidRDefault="00817C1B">
      <w:pPr>
        <w:jc w:val="both"/>
        <w:rPr>
          <w:rFonts w:ascii="Trebuchet MS" w:eastAsia="Trebuchet MS" w:hAnsi="Trebuchet MS" w:cs="Trebuchet MS"/>
          <w:b/>
          <w:color w:val="38761D"/>
          <w:sz w:val="24"/>
          <w:szCs w:val="24"/>
        </w:rPr>
      </w:pPr>
    </w:p>
    <w:p w14:paraId="6AF60A7A" w14:textId="77777777" w:rsidR="00817C1B" w:rsidRDefault="00392EBA">
      <w:pPr>
        <w:jc w:val="both"/>
      </w:pPr>
      <w:r>
        <w:t xml:space="preserve">The eighth examined group is an extremely </w:t>
      </w:r>
      <w:r>
        <w:rPr>
          <w:b/>
        </w:rPr>
        <w:t>bullish case</w:t>
      </w:r>
      <w:r>
        <w:t xml:space="preserve">: the </w:t>
      </w:r>
      <w:r>
        <w:rPr>
          <w:b/>
        </w:rPr>
        <w:t>yearly percentage change of QQQ is between 40% and +60%</w:t>
      </w:r>
      <w:r>
        <w:t xml:space="preserve">. </w:t>
      </w:r>
      <w:r>
        <w:rPr>
          <w:b/>
        </w:rPr>
        <w:t>200</w:t>
      </w:r>
      <w:r>
        <w:rPr>
          <w:b/>
        </w:rPr>
        <w:t>3 and 2009 were such years from 1999, which is almost 10% of years</w:t>
      </w:r>
      <w:r>
        <w:t xml:space="preserve"> (Table 8). </w:t>
      </w:r>
    </w:p>
    <w:p w14:paraId="7BFCD22B" w14:textId="77777777" w:rsidR="00817C1B" w:rsidRDefault="00817C1B">
      <w:pPr>
        <w:jc w:val="both"/>
      </w:pPr>
    </w:p>
    <w:p w14:paraId="2D17B289" w14:textId="77777777" w:rsidR="00817C1B" w:rsidRDefault="00392EBA">
      <w:pPr>
        <w:jc w:val="both"/>
      </w:pPr>
      <w:r>
        <w:t>Chart 30a-d, Table 9h, Chart 31a-d and Table 10h show the density of performance indicators again. In this case, there are 5 subgroups based on the maximum drawdowns of ‘Pure Q</w:t>
      </w:r>
      <w:r>
        <w:t xml:space="preserve">QQ’. </w:t>
      </w:r>
    </w:p>
    <w:p w14:paraId="0128EF71" w14:textId="77777777" w:rsidR="00817C1B" w:rsidRDefault="00817C1B">
      <w:pPr>
        <w:jc w:val="both"/>
      </w:pPr>
    </w:p>
    <w:p w14:paraId="1A7661F9" w14:textId="77777777" w:rsidR="00817C1B" w:rsidRDefault="00392EBA">
      <w:pPr>
        <w:jc w:val="both"/>
      </w:pPr>
      <w:r>
        <w:t xml:space="preserve">As it can be expected, </w:t>
      </w:r>
      <w:r>
        <w:rPr>
          <w:b/>
        </w:rPr>
        <w:t>any (almost perfect) insurance in such extremely bullish case cannot be successful. However, the long TLT part can slightly increase profitability on average, because of the imperfect correlation.</w:t>
      </w:r>
      <w:r>
        <w:t xml:space="preserve">  Thus, our </w:t>
      </w:r>
      <w:r>
        <w:rPr>
          <w:b/>
        </w:rPr>
        <w:t>strategy rank</w:t>
      </w:r>
      <w:r>
        <w:t xml:space="preserve"> in t</w:t>
      </w:r>
      <w:r>
        <w:t xml:space="preserve">his eighth case is the following: </w:t>
      </w:r>
      <w:r>
        <w:br/>
      </w:r>
      <w:r>
        <w:rPr>
          <w:b/>
        </w:rPr>
        <w:t>‘Bond hedge’ &gt; ‘Pure QQQ’ &gt; ‘Combined’ &gt;&gt; ‘Put hedge’</w:t>
      </w:r>
      <w:r>
        <w:t>.</w:t>
      </w:r>
    </w:p>
    <w:p w14:paraId="4A994F78" w14:textId="77777777" w:rsidR="00817C1B" w:rsidRDefault="00817C1B">
      <w:pPr>
        <w:jc w:val="both"/>
      </w:pPr>
    </w:p>
    <w:p w14:paraId="768A94E8" w14:textId="77777777" w:rsidR="00817C1B" w:rsidRDefault="00817C1B">
      <w:pPr>
        <w:jc w:val="both"/>
      </w:pPr>
    </w:p>
    <w:p w14:paraId="3D7F766D" w14:textId="77777777" w:rsidR="00817C1B" w:rsidRDefault="00392EBA">
      <w:pPr>
        <w:jc w:val="center"/>
        <w:rPr>
          <w:sz w:val="18"/>
          <w:szCs w:val="18"/>
        </w:rPr>
      </w:pPr>
      <w:r>
        <w:rPr>
          <w:sz w:val="18"/>
          <w:szCs w:val="18"/>
        </w:rPr>
        <w:t>Chart 30a:  Density of CAGRs - QQQ Yearly Change: +40% - +60%</w:t>
      </w:r>
    </w:p>
    <w:p w14:paraId="5DEF0E09" w14:textId="77777777" w:rsidR="00817C1B" w:rsidRDefault="00392EBA">
      <w:pPr>
        <w:jc w:val="center"/>
        <w:rPr>
          <w:sz w:val="18"/>
          <w:szCs w:val="18"/>
        </w:rPr>
      </w:pPr>
      <w:r>
        <w:rPr>
          <w:noProof/>
          <w:sz w:val="18"/>
          <w:szCs w:val="18"/>
        </w:rPr>
        <w:drawing>
          <wp:inline distT="114300" distB="114300" distL="114300" distR="114300" wp14:anchorId="64B90417" wp14:editId="28DEC12C">
            <wp:extent cx="7052400" cy="2882900"/>
            <wp:effectExtent l="0" t="0" r="0" b="0"/>
            <wp:docPr id="32" name="image30.jpg"/>
            <wp:cNvGraphicFramePr/>
            <a:graphic xmlns:a="http://schemas.openxmlformats.org/drawingml/2006/main">
              <a:graphicData uri="http://schemas.openxmlformats.org/drawingml/2006/picture">
                <pic:pic xmlns:pic="http://schemas.openxmlformats.org/drawingml/2006/picture">
                  <pic:nvPicPr>
                    <pic:cNvPr id="0" name="image30.jpg"/>
                    <pic:cNvPicPr preferRelativeResize="0"/>
                  </pic:nvPicPr>
                  <pic:blipFill>
                    <a:blip r:embed="rId131"/>
                    <a:srcRect/>
                    <a:stretch>
                      <a:fillRect/>
                    </a:stretch>
                  </pic:blipFill>
                  <pic:spPr>
                    <a:xfrm>
                      <a:off x="0" y="0"/>
                      <a:ext cx="7052400" cy="2882900"/>
                    </a:xfrm>
                    <a:prstGeom prst="rect">
                      <a:avLst/>
                    </a:prstGeom>
                    <a:ln/>
                  </pic:spPr>
                </pic:pic>
              </a:graphicData>
            </a:graphic>
          </wp:inline>
        </w:drawing>
      </w:r>
    </w:p>
    <w:p w14:paraId="36FA5253" w14:textId="77777777" w:rsidR="00817C1B" w:rsidRDefault="00392EBA">
      <w:pPr>
        <w:jc w:val="center"/>
        <w:rPr>
          <w:sz w:val="18"/>
          <w:szCs w:val="18"/>
        </w:rPr>
      </w:pPr>
      <w:r>
        <w:br w:type="page"/>
      </w:r>
    </w:p>
    <w:p w14:paraId="3C3518F0" w14:textId="77777777" w:rsidR="00817C1B" w:rsidRDefault="00392EBA">
      <w:pPr>
        <w:jc w:val="center"/>
        <w:rPr>
          <w:sz w:val="18"/>
          <w:szCs w:val="18"/>
        </w:rPr>
      </w:pPr>
      <w:r>
        <w:rPr>
          <w:sz w:val="18"/>
          <w:szCs w:val="18"/>
        </w:rPr>
        <w:lastRenderedPageBreak/>
        <w:t>Chart 30b:  Density of Sharpe Ratios - QQQ Yearly Change: +40% - +60%</w:t>
      </w:r>
    </w:p>
    <w:p w14:paraId="5C0A8069" w14:textId="77777777" w:rsidR="00817C1B" w:rsidRDefault="00392EBA">
      <w:pPr>
        <w:jc w:val="center"/>
        <w:rPr>
          <w:sz w:val="18"/>
          <w:szCs w:val="18"/>
        </w:rPr>
      </w:pPr>
      <w:r>
        <w:rPr>
          <w:noProof/>
          <w:sz w:val="18"/>
          <w:szCs w:val="18"/>
        </w:rPr>
        <w:drawing>
          <wp:inline distT="114300" distB="114300" distL="114300" distR="114300" wp14:anchorId="04A56E29" wp14:editId="597FBEB6">
            <wp:extent cx="7052400" cy="3670300"/>
            <wp:effectExtent l="0" t="0" r="0" b="0"/>
            <wp:docPr id="4" name="image12.jpg"/>
            <wp:cNvGraphicFramePr/>
            <a:graphic xmlns:a="http://schemas.openxmlformats.org/drawingml/2006/main">
              <a:graphicData uri="http://schemas.openxmlformats.org/drawingml/2006/picture">
                <pic:pic xmlns:pic="http://schemas.openxmlformats.org/drawingml/2006/picture">
                  <pic:nvPicPr>
                    <pic:cNvPr id="0" name="image12.jpg"/>
                    <pic:cNvPicPr preferRelativeResize="0"/>
                  </pic:nvPicPr>
                  <pic:blipFill>
                    <a:blip r:embed="rId132"/>
                    <a:srcRect/>
                    <a:stretch>
                      <a:fillRect/>
                    </a:stretch>
                  </pic:blipFill>
                  <pic:spPr>
                    <a:xfrm>
                      <a:off x="0" y="0"/>
                      <a:ext cx="7052400" cy="3670300"/>
                    </a:xfrm>
                    <a:prstGeom prst="rect">
                      <a:avLst/>
                    </a:prstGeom>
                    <a:ln/>
                  </pic:spPr>
                </pic:pic>
              </a:graphicData>
            </a:graphic>
          </wp:inline>
        </w:drawing>
      </w:r>
    </w:p>
    <w:p w14:paraId="19ED1217" w14:textId="77777777" w:rsidR="00817C1B" w:rsidRDefault="00817C1B">
      <w:pPr>
        <w:jc w:val="center"/>
        <w:rPr>
          <w:sz w:val="18"/>
          <w:szCs w:val="18"/>
        </w:rPr>
      </w:pPr>
    </w:p>
    <w:p w14:paraId="36DBBCF2" w14:textId="77777777" w:rsidR="00817C1B" w:rsidRDefault="00392EBA">
      <w:pPr>
        <w:jc w:val="center"/>
        <w:rPr>
          <w:sz w:val="18"/>
          <w:szCs w:val="18"/>
        </w:rPr>
      </w:pPr>
      <w:r>
        <w:rPr>
          <w:sz w:val="18"/>
          <w:szCs w:val="18"/>
        </w:rPr>
        <w:t>Chart 30c:  Density of MAR Ratios - QQQ Yearly Change: +40% - +60%</w:t>
      </w:r>
    </w:p>
    <w:p w14:paraId="26EC596C" w14:textId="77777777" w:rsidR="00817C1B" w:rsidRDefault="00392EBA">
      <w:pPr>
        <w:jc w:val="center"/>
        <w:rPr>
          <w:sz w:val="18"/>
          <w:szCs w:val="18"/>
        </w:rPr>
      </w:pPr>
      <w:r>
        <w:rPr>
          <w:noProof/>
          <w:sz w:val="18"/>
          <w:szCs w:val="18"/>
        </w:rPr>
        <w:drawing>
          <wp:inline distT="114300" distB="114300" distL="114300" distR="114300" wp14:anchorId="14C41F37" wp14:editId="42EE4551">
            <wp:extent cx="7052400" cy="3797300"/>
            <wp:effectExtent l="0" t="0" r="0" b="0"/>
            <wp:docPr id="107" name="image99.jpg"/>
            <wp:cNvGraphicFramePr/>
            <a:graphic xmlns:a="http://schemas.openxmlformats.org/drawingml/2006/main">
              <a:graphicData uri="http://schemas.openxmlformats.org/drawingml/2006/picture">
                <pic:pic xmlns:pic="http://schemas.openxmlformats.org/drawingml/2006/picture">
                  <pic:nvPicPr>
                    <pic:cNvPr id="0" name="image99.jpg"/>
                    <pic:cNvPicPr preferRelativeResize="0"/>
                  </pic:nvPicPr>
                  <pic:blipFill>
                    <a:blip r:embed="rId133"/>
                    <a:srcRect/>
                    <a:stretch>
                      <a:fillRect/>
                    </a:stretch>
                  </pic:blipFill>
                  <pic:spPr>
                    <a:xfrm>
                      <a:off x="0" y="0"/>
                      <a:ext cx="7052400" cy="3797300"/>
                    </a:xfrm>
                    <a:prstGeom prst="rect">
                      <a:avLst/>
                    </a:prstGeom>
                    <a:ln/>
                  </pic:spPr>
                </pic:pic>
              </a:graphicData>
            </a:graphic>
          </wp:inline>
        </w:drawing>
      </w:r>
    </w:p>
    <w:p w14:paraId="542F3EFA" w14:textId="77777777" w:rsidR="00817C1B" w:rsidRDefault="00392EBA">
      <w:pPr>
        <w:jc w:val="center"/>
        <w:rPr>
          <w:sz w:val="18"/>
          <w:szCs w:val="18"/>
        </w:rPr>
      </w:pPr>
      <w:r>
        <w:br w:type="page"/>
      </w:r>
    </w:p>
    <w:p w14:paraId="338FE63F" w14:textId="77777777" w:rsidR="00817C1B" w:rsidRDefault="00392EBA">
      <w:pPr>
        <w:jc w:val="center"/>
        <w:rPr>
          <w:sz w:val="18"/>
          <w:szCs w:val="18"/>
        </w:rPr>
      </w:pPr>
      <w:r>
        <w:rPr>
          <w:sz w:val="18"/>
          <w:szCs w:val="18"/>
        </w:rPr>
        <w:lastRenderedPageBreak/>
        <w:t>Chart 30d:  Density of Maximum Drawdowns - QQQ Yearly Change: +40% - +60%</w:t>
      </w:r>
    </w:p>
    <w:p w14:paraId="3280C82B" w14:textId="77777777" w:rsidR="00817C1B" w:rsidRDefault="00392EBA">
      <w:pPr>
        <w:jc w:val="center"/>
        <w:rPr>
          <w:sz w:val="18"/>
          <w:szCs w:val="18"/>
        </w:rPr>
      </w:pPr>
      <w:r>
        <w:rPr>
          <w:noProof/>
          <w:sz w:val="18"/>
          <w:szCs w:val="18"/>
        </w:rPr>
        <w:drawing>
          <wp:inline distT="114300" distB="114300" distL="114300" distR="114300" wp14:anchorId="49E60114" wp14:editId="17C42F24">
            <wp:extent cx="7052400" cy="4051300"/>
            <wp:effectExtent l="0" t="0" r="0" b="0"/>
            <wp:docPr id="131" name="image141.jpg"/>
            <wp:cNvGraphicFramePr/>
            <a:graphic xmlns:a="http://schemas.openxmlformats.org/drawingml/2006/main">
              <a:graphicData uri="http://schemas.openxmlformats.org/drawingml/2006/picture">
                <pic:pic xmlns:pic="http://schemas.openxmlformats.org/drawingml/2006/picture">
                  <pic:nvPicPr>
                    <pic:cNvPr id="0" name="image141.jpg"/>
                    <pic:cNvPicPr preferRelativeResize="0"/>
                  </pic:nvPicPr>
                  <pic:blipFill>
                    <a:blip r:embed="rId134"/>
                    <a:srcRect/>
                    <a:stretch>
                      <a:fillRect/>
                    </a:stretch>
                  </pic:blipFill>
                  <pic:spPr>
                    <a:xfrm>
                      <a:off x="0" y="0"/>
                      <a:ext cx="7052400" cy="4051300"/>
                    </a:xfrm>
                    <a:prstGeom prst="rect">
                      <a:avLst/>
                    </a:prstGeom>
                    <a:ln/>
                  </pic:spPr>
                </pic:pic>
              </a:graphicData>
            </a:graphic>
          </wp:inline>
        </w:drawing>
      </w:r>
    </w:p>
    <w:p w14:paraId="118BE5D4" w14:textId="77777777" w:rsidR="00817C1B" w:rsidRDefault="00817C1B">
      <w:pPr>
        <w:jc w:val="center"/>
        <w:rPr>
          <w:sz w:val="18"/>
          <w:szCs w:val="18"/>
        </w:rPr>
      </w:pPr>
    </w:p>
    <w:p w14:paraId="3EFC9F14" w14:textId="77777777" w:rsidR="00817C1B" w:rsidRDefault="00392EBA">
      <w:pPr>
        <w:jc w:val="center"/>
        <w:rPr>
          <w:sz w:val="18"/>
          <w:szCs w:val="18"/>
        </w:rPr>
      </w:pPr>
      <w:r>
        <w:rPr>
          <w:rFonts w:ascii="Arial Unicode MS" w:eastAsia="Arial Unicode MS" w:hAnsi="Arial Unicode MS" w:cs="Arial Unicode MS"/>
          <w:sz w:val="18"/>
          <w:szCs w:val="18"/>
        </w:rPr>
        <w:t xml:space="preserve">Table 8h: Years when QQQ Yearly Change: +40% - +60% </w:t>
      </w:r>
      <w:r>
        <w:rPr>
          <w:rFonts w:ascii="Arial Unicode MS" w:eastAsia="Arial Unicode MS" w:hAnsi="Arial Unicode MS" w:cs="Arial Unicode MS"/>
          <w:sz w:val="18"/>
          <w:szCs w:val="18"/>
        </w:rPr>
        <w:t>ー</w:t>
      </w:r>
      <w:r>
        <w:rPr>
          <w:rFonts w:ascii="Arial Unicode MS" w:eastAsia="Arial Unicode MS" w:hAnsi="Arial Unicode MS" w:cs="Arial Unicode MS"/>
          <w:sz w:val="18"/>
          <w:szCs w:val="18"/>
        </w:rPr>
        <w:t xml:space="preserve"> 1999-2019</w:t>
      </w:r>
    </w:p>
    <w:p w14:paraId="7C6F8A6B" w14:textId="77777777" w:rsidR="00817C1B" w:rsidRDefault="00392EBA">
      <w:pPr>
        <w:jc w:val="center"/>
        <w:rPr>
          <w:sz w:val="18"/>
          <w:szCs w:val="18"/>
        </w:rPr>
      </w:pPr>
      <w:r>
        <w:rPr>
          <w:noProof/>
          <w:sz w:val="18"/>
          <w:szCs w:val="18"/>
        </w:rPr>
        <w:drawing>
          <wp:inline distT="114300" distB="114300" distL="114300" distR="114300" wp14:anchorId="5C512782" wp14:editId="30657F3E">
            <wp:extent cx="1838325" cy="590550"/>
            <wp:effectExtent l="0" t="0" r="0" b="0"/>
            <wp:docPr id="7"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35"/>
                    <a:srcRect/>
                    <a:stretch>
                      <a:fillRect/>
                    </a:stretch>
                  </pic:blipFill>
                  <pic:spPr>
                    <a:xfrm>
                      <a:off x="0" y="0"/>
                      <a:ext cx="1838325" cy="590550"/>
                    </a:xfrm>
                    <a:prstGeom prst="rect">
                      <a:avLst/>
                    </a:prstGeom>
                    <a:ln/>
                  </pic:spPr>
                </pic:pic>
              </a:graphicData>
            </a:graphic>
          </wp:inline>
        </w:drawing>
      </w:r>
    </w:p>
    <w:p w14:paraId="5E1E2800" w14:textId="77777777" w:rsidR="00817C1B" w:rsidRDefault="00817C1B">
      <w:pPr>
        <w:jc w:val="center"/>
        <w:rPr>
          <w:sz w:val="18"/>
          <w:szCs w:val="18"/>
        </w:rPr>
      </w:pPr>
    </w:p>
    <w:p w14:paraId="45F16F07" w14:textId="77777777" w:rsidR="00817C1B" w:rsidRDefault="00392EBA">
      <w:pPr>
        <w:jc w:val="center"/>
        <w:rPr>
          <w:sz w:val="18"/>
          <w:szCs w:val="18"/>
        </w:rPr>
      </w:pPr>
      <w:r>
        <w:rPr>
          <w:sz w:val="18"/>
          <w:szCs w:val="18"/>
        </w:rPr>
        <w:t>Table 9h: Performance indicators of different strategies - QQQ Yearly Change: +40% - +60%</w:t>
      </w:r>
    </w:p>
    <w:p w14:paraId="5A3D3004" w14:textId="77777777" w:rsidR="00817C1B" w:rsidRDefault="00392EBA">
      <w:pPr>
        <w:jc w:val="center"/>
        <w:rPr>
          <w:sz w:val="18"/>
          <w:szCs w:val="18"/>
        </w:rPr>
      </w:pPr>
      <w:r>
        <w:rPr>
          <w:noProof/>
          <w:sz w:val="18"/>
          <w:szCs w:val="18"/>
        </w:rPr>
        <w:drawing>
          <wp:inline distT="114300" distB="114300" distL="114300" distR="114300" wp14:anchorId="40CF3F45" wp14:editId="69BB1A6C">
            <wp:extent cx="7052400" cy="3124200"/>
            <wp:effectExtent l="0" t="0" r="0" b="0"/>
            <wp:docPr id="40" name="image40.png"/>
            <wp:cNvGraphicFramePr/>
            <a:graphic xmlns:a="http://schemas.openxmlformats.org/drawingml/2006/main">
              <a:graphicData uri="http://schemas.openxmlformats.org/drawingml/2006/picture">
                <pic:pic xmlns:pic="http://schemas.openxmlformats.org/drawingml/2006/picture">
                  <pic:nvPicPr>
                    <pic:cNvPr id="0" name="image40.png"/>
                    <pic:cNvPicPr preferRelativeResize="0"/>
                  </pic:nvPicPr>
                  <pic:blipFill>
                    <a:blip r:embed="rId136"/>
                    <a:srcRect/>
                    <a:stretch>
                      <a:fillRect/>
                    </a:stretch>
                  </pic:blipFill>
                  <pic:spPr>
                    <a:xfrm>
                      <a:off x="0" y="0"/>
                      <a:ext cx="7052400" cy="3124200"/>
                    </a:xfrm>
                    <a:prstGeom prst="rect">
                      <a:avLst/>
                    </a:prstGeom>
                    <a:ln/>
                  </pic:spPr>
                </pic:pic>
              </a:graphicData>
            </a:graphic>
          </wp:inline>
        </w:drawing>
      </w:r>
    </w:p>
    <w:p w14:paraId="7867E670" w14:textId="77777777" w:rsidR="00817C1B" w:rsidRDefault="00392EBA">
      <w:pPr>
        <w:jc w:val="center"/>
        <w:rPr>
          <w:sz w:val="18"/>
          <w:szCs w:val="18"/>
        </w:rPr>
      </w:pPr>
      <w:r>
        <w:br w:type="page"/>
      </w:r>
    </w:p>
    <w:p w14:paraId="4500407C" w14:textId="77777777" w:rsidR="00817C1B" w:rsidRDefault="00392EBA">
      <w:pPr>
        <w:jc w:val="center"/>
        <w:rPr>
          <w:sz w:val="18"/>
          <w:szCs w:val="18"/>
        </w:rPr>
      </w:pPr>
      <w:r>
        <w:rPr>
          <w:sz w:val="18"/>
          <w:szCs w:val="18"/>
        </w:rPr>
        <w:lastRenderedPageBreak/>
        <w:t>Chart 31a:  Density of Differences in CAGRs - Compared to B&amp;H QQQ w/o Hedges - QQQ Yearly Chang</w:t>
      </w:r>
      <w:r>
        <w:rPr>
          <w:sz w:val="18"/>
          <w:szCs w:val="18"/>
        </w:rPr>
        <w:t>e: +40% - +60%</w:t>
      </w:r>
    </w:p>
    <w:p w14:paraId="35B6C12B" w14:textId="77777777" w:rsidR="00817C1B" w:rsidRDefault="00392EBA">
      <w:pPr>
        <w:jc w:val="center"/>
        <w:rPr>
          <w:sz w:val="18"/>
          <w:szCs w:val="18"/>
        </w:rPr>
      </w:pPr>
      <w:r>
        <w:rPr>
          <w:noProof/>
          <w:sz w:val="18"/>
          <w:szCs w:val="18"/>
        </w:rPr>
        <w:drawing>
          <wp:inline distT="114300" distB="114300" distL="114300" distR="114300" wp14:anchorId="49F191B4" wp14:editId="536F7284">
            <wp:extent cx="7052400" cy="3238500"/>
            <wp:effectExtent l="0" t="0" r="0" b="0"/>
            <wp:docPr id="30" name="image32.jpg"/>
            <wp:cNvGraphicFramePr/>
            <a:graphic xmlns:a="http://schemas.openxmlformats.org/drawingml/2006/main">
              <a:graphicData uri="http://schemas.openxmlformats.org/drawingml/2006/picture">
                <pic:pic xmlns:pic="http://schemas.openxmlformats.org/drawingml/2006/picture">
                  <pic:nvPicPr>
                    <pic:cNvPr id="0" name="image32.jpg"/>
                    <pic:cNvPicPr preferRelativeResize="0"/>
                  </pic:nvPicPr>
                  <pic:blipFill>
                    <a:blip r:embed="rId137"/>
                    <a:srcRect/>
                    <a:stretch>
                      <a:fillRect/>
                    </a:stretch>
                  </pic:blipFill>
                  <pic:spPr>
                    <a:xfrm>
                      <a:off x="0" y="0"/>
                      <a:ext cx="7052400" cy="3238500"/>
                    </a:xfrm>
                    <a:prstGeom prst="rect">
                      <a:avLst/>
                    </a:prstGeom>
                    <a:ln/>
                  </pic:spPr>
                </pic:pic>
              </a:graphicData>
            </a:graphic>
          </wp:inline>
        </w:drawing>
      </w:r>
    </w:p>
    <w:p w14:paraId="3F1D6C95" w14:textId="77777777" w:rsidR="00817C1B" w:rsidRDefault="00817C1B">
      <w:pPr>
        <w:jc w:val="center"/>
        <w:rPr>
          <w:sz w:val="18"/>
          <w:szCs w:val="18"/>
        </w:rPr>
      </w:pPr>
    </w:p>
    <w:p w14:paraId="66DB616D" w14:textId="77777777" w:rsidR="00817C1B" w:rsidRDefault="00392EBA">
      <w:pPr>
        <w:jc w:val="center"/>
        <w:rPr>
          <w:sz w:val="18"/>
          <w:szCs w:val="18"/>
        </w:rPr>
      </w:pPr>
      <w:r>
        <w:rPr>
          <w:sz w:val="18"/>
          <w:szCs w:val="18"/>
        </w:rPr>
        <w:t>Chart 31b:  Density of Differences in Sharpe Ratios - Compared to B&amp;H QQQ w/o Hedges - QQQ Yearly Change: +40% - +60%</w:t>
      </w:r>
    </w:p>
    <w:p w14:paraId="09356F83" w14:textId="77777777" w:rsidR="00817C1B" w:rsidRDefault="00392EBA">
      <w:pPr>
        <w:jc w:val="center"/>
        <w:rPr>
          <w:sz w:val="18"/>
          <w:szCs w:val="18"/>
        </w:rPr>
      </w:pPr>
      <w:r>
        <w:rPr>
          <w:noProof/>
          <w:sz w:val="18"/>
          <w:szCs w:val="18"/>
        </w:rPr>
        <w:drawing>
          <wp:inline distT="114300" distB="114300" distL="114300" distR="114300" wp14:anchorId="758920C5" wp14:editId="28BB1835">
            <wp:extent cx="7052400" cy="3416300"/>
            <wp:effectExtent l="0" t="0" r="0" b="0"/>
            <wp:docPr id="124" name="image115.jpg"/>
            <wp:cNvGraphicFramePr/>
            <a:graphic xmlns:a="http://schemas.openxmlformats.org/drawingml/2006/main">
              <a:graphicData uri="http://schemas.openxmlformats.org/drawingml/2006/picture">
                <pic:pic xmlns:pic="http://schemas.openxmlformats.org/drawingml/2006/picture">
                  <pic:nvPicPr>
                    <pic:cNvPr id="0" name="image115.jpg"/>
                    <pic:cNvPicPr preferRelativeResize="0"/>
                  </pic:nvPicPr>
                  <pic:blipFill>
                    <a:blip r:embed="rId138"/>
                    <a:srcRect/>
                    <a:stretch>
                      <a:fillRect/>
                    </a:stretch>
                  </pic:blipFill>
                  <pic:spPr>
                    <a:xfrm>
                      <a:off x="0" y="0"/>
                      <a:ext cx="7052400" cy="3416300"/>
                    </a:xfrm>
                    <a:prstGeom prst="rect">
                      <a:avLst/>
                    </a:prstGeom>
                    <a:ln/>
                  </pic:spPr>
                </pic:pic>
              </a:graphicData>
            </a:graphic>
          </wp:inline>
        </w:drawing>
      </w:r>
    </w:p>
    <w:p w14:paraId="6203B10E" w14:textId="77777777" w:rsidR="00817C1B" w:rsidRDefault="00392EBA">
      <w:pPr>
        <w:jc w:val="center"/>
        <w:rPr>
          <w:sz w:val="18"/>
          <w:szCs w:val="18"/>
        </w:rPr>
      </w:pPr>
      <w:r>
        <w:br w:type="page"/>
      </w:r>
    </w:p>
    <w:p w14:paraId="42AC5654" w14:textId="77777777" w:rsidR="00817C1B" w:rsidRDefault="00392EBA">
      <w:pPr>
        <w:jc w:val="center"/>
        <w:rPr>
          <w:sz w:val="18"/>
          <w:szCs w:val="18"/>
        </w:rPr>
      </w:pPr>
      <w:r>
        <w:rPr>
          <w:sz w:val="18"/>
          <w:szCs w:val="18"/>
        </w:rPr>
        <w:lastRenderedPageBreak/>
        <w:t>Chart 31c:  Density of Differences in MAR Ratios - Compared to B&amp;H QQQ w/o Hedges - QQQ Yearly Change: +40% - +60%</w:t>
      </w:r>
    </w:p>
    <w:p w14:paraId="6878B219" w14:textId="77777777" w:rsidR="00817C1B" w:rsidRDefault="00392EBA">
      <w:pPr>
        <w:jc w:val="center"/>
        <w:rPr>
          <w:sz w:val="18"/>
          <w:szCs w:val="18"/>
        </w:rPr>
      </w:pPr>
      <w:r>
        <w:rPr>
          <w:noProof/>
          <w:sz w:val="18"/>
          <w:szCs w:val="18"/>
        </w:rPr>
        <w:drawing>
          <wp:inline distT="114300" distB="114300" distL="114300" distR="114300" wp14:anchorId="2C9C7FCC" wp14:editId="0ADF8716">
            <wp:extent cx="7052400" cy="3416300"/>
            <wp:effectExtent l="0" t="0" r="0" b="0"/>
            <wp:docPr id="59" name="image58.jpg"/>
            <wp:cNvGraphicFramePr/>
            <a:graphic xmlns:a="http://schemas.openxmlformats.org/drawingml/2006/main">
              <a:graphicData uri="http://schemas.openxmlformats.org/drawingml/2006/picture">
                <pic:pic xmlns:pic="http://schemas.openxmlformats.org/drawingml/2006/picture">
                  <pic:nvPicPr>
                    <pic:cNvPr id="0" name="image58.jpg"/>
                    <pic:cNvPicPr preferRelativeResize="0"/>
                  </pic:nvPicPr>
                  <pic:blipFill>
                    <a:blip r:embed="rId139"/>
                    <a:srcRect/>
                    <a:stretch>
                      <a:fillRect/>
                    </a:stretch>
                  </pic:blipFill>
                  <pic:spPr>
                    <a:xfrm>
                      <a:off x="0" y="0"/>
                      <a:ext cx="7052400" cy="3416300"/>
                    </a:xfrm>
                    <a:prstGeom prst="rect">
                      <a:avLst/>
                    </a:prstGeom>
                    <a:ln/>
                  </pic:spPr>
                </pic:pic>
              </a:graphicData>
            </a:graphic>
          </wp:inline>
        </w:drawing>
      </w:r>
    </w:p>
    <w:p w14:paraId="79556443" w14:textId="77777777" w:rsidR="00817C1B" w:rsidRDefault="00817C1B">
      <w:pPr>
        <w:jc w:val="center"/>
        <w:rPr>
          <w:sz w:val="18"/>
          <w:szCs w:val="18"/>
        </w:rPr>
      </w:pPr>
    </w:p>
    <w:p w14:paraId="5BF44FDB" w14:textId="77777777" w:rsidR="00817C1B" w:rsidRDefault="00392EBA">
      <w:pPr>
        <w:jc w:val="center"/>
        <w:rPr>
          <w:sz w:val="18"/>
          <w:szCs w:val="18"/>
        </w:rPr>
      </w:pPr>
      <w:r>
        <w:rPr>
          <w:sz w:val="18"/>
          <w:szCs w:val="18"/>
        </w:rPr>
        <w:t>Chart 31d:  Density of Differences in Maximum Drawdowns - Compared to B&amp;H QQQ w/o Hedges - QQQ Yearly Change: +40% - +60%</w:t>
      </w:r>
    </w:p>
    <w:p w14:paraId="46A86597" w14:textId="77777777" w:rsidR="00817C1B" w:rsidRDefault="00392EBA">
      <w:pPr>
        <w:jc w:val="center"/>
        <w:rPr>
          <w:sz w:val="18"/>
          <w:szCs w:val="18"/>
        </w:rPr>
      </w:pPr>
      <w:r>
        <w:rPr>
          <w:noProof/>
          <w:sz w:val="18"/>
          <w:szCs w:val="18"/>
        </w:rPr>
        <w:drawing>
          <wp:inline distT="114300" distB="114300" distL="114300" distR="114300" wp14:anchorId="3C4DFF87" wp14:editId="1750C226">
            <wp:extent cx="7052400" cy="3416300"/>
            <wp:effectExtent l="0" t="0" r="0" b="0"/>
            <wp:docPr id="118" name="image112.jpg"/>
            <wp:cNvGraphicFramePr/>
            <a:graphic xmlns:a="http://schemas.openxmlformats.org/drawingml/2006/main">
              <a:graphicData uri="http://schemas.openxmlformats.org/drawingml/2006/picture">
                <pic:pic xmlns:pic="http://schemas.openxmlformats.org/drawingml/2006/picture">
                  <pic:nvPicPr>
                    <pic:cNvPr id="0" name="image112.jpg"/>
                    <pic:cNvPicPr preferRelativeResize="0"/>
                  </pic:nvPicPr>
                  <pic:blipFill>
                    <a:blip r:embed="rId140"/>
                    <a:srcRect/>
                    <a:stretch>
                      <a:fillRect/>
                    </a:stretch>
                  </pic:blipFill>
                  <pic:spPr>
                    <a:xfrm>
                      <a:off x="0" y="0"/>
                      <a:ext cx="7052400" cy="3416300"/>
                    </a:xfrm>
                    <a:prstGeom prst="rect">
                      <a:avLst/>
                    </a:prstGeom>
                    <a:ln/>
                  </pic:spPr>
                </pic:pic>
              </a:graphicData>
            </a:graphic>
          </wp:inline>
        </w:drawing>
      </w:r>
    </w:p>
    <w:p w14:paraId="454E3450" w14:textId="77777777" w:rsidR="00817C1B" w:rsidRDefault="00392EBA">
      <w:pPr>
        <w:jc w:val="center"/>
        <w:rPr>
          <w:sz w:val="18"/>
          <w:szCs w:val="18"/>
        </w:rPr>
      </w:pPr>
      <w:r>
        <w:br w:type="page"/>
      </w:r>
    </w:p>
    <w:p w14:paraId="6439AE76" w14:textId="77777777" w:rsidR="00817C1B" w:rsidRDefault="00392EBA">
      <w:pPr>
        <w:jc w:val="center"/>
        <w:rPr>
          <w:sz w:val="18"/>
          <w:szCs w:val="18"/>
        </w:rPr>
      </w:pPr>
      <w:r>
        <w:rPr>
          <w:sz w:val="18"/>
          <w:szCs w:val="18"/>
        </w:rPr>
        <w:lastRenderedPageBreak/>
        <w:t>Table 10h: Performance indicators of differences compared to B&amp;H QQQ w/o Hedges - QQQ Yearly Change: +40% - +60%</w:t>
      </w:r>
    </w:p>
    <w:p w14:paraId="13E6D710" w14:textId="77777777" w:rsidR="00817C1B" w:rsidRDefault="00392EBA">
      <w:pPr>
        <w:jc w:val="center"/>
        <w:rPr>
          <w:sz w:val="18"/>
          <w:szCs w:val="18"/>
        </w:rPr>
      </w:pPr>
      <w:r>
        <w:rPr>
          <w:noProof/>
          <w:sz w:val="18"/>
          <w:szCs w:val="18"/>
        </w:rPr>
        <w:drawing>
          <wp:inline distT="114300" distB="114300" distL="114300" distR="114300" wp14:anchorId="1034F90F" wp14:editId="5B437257">
            <wp:extent cx="7052400" cy="4025900"/>
            <wp:effectExtent l="0" t="0" r="0" b="0"/>
            <wp:docPr id="144" name="image144.png"/>
            <wp:cNvGraphicFramePr/>
            <a:graphic xmlns:a="http://schemas.openxmlformats.org/drawingml/2006/main">
              <a:graphicData uri="http://schemas.openxmlformats.org/drawingml/2006/picture">
                <pic:pic xmlns:pic="http://schemas.openxmlformats.org/drawingml/2006/picture">
                  <pic:nvPicPr>
                    <pic:cNvPr id="0" name="image144.png"/>
                    <pic:cNvPicPr preferRelativeResize="0"/>
                  </pic:nvPicPr>
                  <pic:blipFill>
                    <a:blip r:embed="rId141"/>
                    <a:srcRect/>
                    <a:stretch>
                      <a:fillRect/>
                    </a:stretch>
                  </pic:blipFill>
                  <pic:spPr>
                    <a:xfrm>
                      <a:off x="0" y="0"/>
                      <a:ext cx="7052400" cy="4025900"/>
                    </a:xfrm>
                    <a:prstGeom prst="rect">
                      <a:avLst/>
                    </a:prstGeom>
                    <a:ln/>
                  </pic:spPr>
                </pic:pic>
              </a:graphicData>
            </a:graphic>
          </wp:inline>
        </w:drawing>
      </w:r>
      <w:r>
        <w:br w:type="page"/>
      </w:r>
    </w:p>
    <w:p w14:paraId="19D52D66" w14:textId="77777777" w:rsidR="00817C1B" w:rsidRDefault="00392EBA">
      <w:pPr>
        <w:jc w:val="both"/>
        <w:rPr>
          <w:rFonts w:ascii="Trebuchet MS" w:eastAsia="Trebuchet MS" w:hAnsi="Trebuchet MS" w:cs="Trebuchet MS"/>
          <w:b/>
          <w:color w:val="38761D"/>
          <w:sz w:val="24"/>
          <w:szCs w:val="24"/>
        </w:rPr>
      </w:pPr>
      <w:r>
        <w:rPr>
          <w:rFonts w:ascii="Trebuchet MS" w:eastAsia="Trebuchet MS" w:hAnsi="Trebuchet MS" w:cs="Trebuchet MS"/>
          <w:b/>
          <w:color w:val="38761D"/>
          <w:sz w:val="24"/>
          <w:szCs w:val="24"/>
        </w:rPr>
        <w:lastRenderedPageBreak/>
        <w:t>QQQ Yearly C</w:t>
      </w:r>
      <w:r>
        <w:rPr>
          <w:rFonts w:ascii="Trebuchet MS" w:eastAsia="Trebuchet MS" w:hAnsi="Trebuchet MS" w:cs="Trebuchet MS"/>
          <w:b/>
          <w:color w:val="38761D"/>
          <w:sz w:val="24"/>
          <w:szCs w:val="24"/>
        </w:rPr>
        <w:t>hange: +60% - +160%</w:t>
      </w:r>
    </w:p>
    <w:p w14:paraId="223B5874" w14:textId="77777777" w:rsidR="00817C1B" w:rsidRDefault="00817C1B">
      <w:pPr>
        <w:jc w:val="both"/>
        <w:rPr>
          <w:rFonts w:ascii="Trebuchet MS" w:eastAsia="Trebuchet MS" w:hAnsi="Trebuchet MS" w:cs="Trebuchet MS"/>
          <w:b/>
          <w:color w:val="38761D"/>
          <w:sz w:val="24"/>
          <w:szCs w:val="24"/>
        </w:rPr>
      </w:pPr>
    </w:p>
    <w:p w14:paraId="59BD2F08" w14:textId="77777777" w:rsidR="00817C1B" w:rsidRDefault="00392EBA">
      <w:pPr>
        <w:jc w:val="both"/>
      </w:pPr>
      <w:r>
        <w:t xml:space="preserve">The ninth examined group is an exceptionally </w:t>
      </w:r>
      <w:r>
        <w:rPr>
          <w:b/>
        </w:rPr>
        <w:t>bullish case</w:t>
      </w:r>
      <w:r>
        <w:t xml:space="preserve">: the </w:t>
      </w:r>
      <w:r>
        <w:rPr>
          <w:b/>
        </w:rPr>
        <w:t>yearly percentage change of QQQ is between 60% and +160%</w:t>
      </w:r>
      <w:r>
        <w:t xml:space="preserve">. </w:t>
      </w:r>
      <w:r>
        <w:rPr>
          <w:b/>
        </w:rPr>
        <w:t>Only 1999 was such a year from 1999</w:t>
      </w:r>
      <w:r>
        <w:t xml:space="preserve"> (5%) (Table 8). </w:t>
      </w:r>
    </w:p>
    <w:p w14:paraId="49C23E64" w14:textId="77777777" w:rsidR="00817C1B" w:rsidRDefault="00817C1B">
      <w:pPr>
        <w:jc w:val="both"/>
      </w:pPr>
    </w:p>
    <w:p w14:paraId="3BE05F2A" w14:textId="77777777" w:rsidR="00817C1B" w:rsidRDefault="00392EBA">
      <w:pPr>
        <w:jc w:val="both"/>
      </w:pPr>
      <w:r>
        <w:t xml:space="preserve">Chart 32a-d, Table 9i, Chart 33a-d and Table 10i show the density of performance indicators again. In this case, there are 3 subgroups based on the maximum drawdowns of ‘Pure QQQ’. </w:t>
      </w:r>
    </w:p>
    <w:p w14:paraId="29AFAA1F" w14:textId="77777777" w:rsidR="00817C1B" w:rsidRDefault="00817C1B">
      <w:pPr>
        <w:jc w:val="both"/>
      </w:pPr>
    </w:p>
    <w:p w14:paraId="531E3543" w14:textId="77777777" w:rsidR="00817C1B" w:rsidRDefault="00392EBA">
      <w:pPr>
        <w:jc w:val="both"/>
      </w:pPr>
      <w:r>
        <w:t xml:space="preserve">In our opinion, ‘Pure QQQ’ is the best choice in this case, but we would also be very pleased with the ‘only’ +50% profit of ‘Put hedge’ strategy in real life. </w:t>
      </w:r>
      <w:r>
        <w:t>😃</w:t>
      </w:r>
      <w:r>
        <w:t xml:space="preserve"> Thus, our </w:t>
      </w:r>
      <w:r>
        <w:rPr>
          <w:b/>
        </w:rPr>
        <w:t>strategy rank</w:t>
      </w:r>
      <w:r>
        <w:t xml:space="preserve"> in this ninth case is the following: </w:t>
      </w:r>
      <w:r>
        <w:br/>
      </w:r>
      <w:r>
        <w:rPr>
          <w:b/>
        </w:rPr>
        <w:t>‘Pure QQQ’ &gt; ‘Bond hedge’ &gt; ‘Co</w:t>
      </w:r>
      <w:r>
        <w:rPr>
          <w:b/>
        </w:rPr>
        <w:t>mbined’ &gt;&gt; ‘Put hedge’</w:t>
      </w:r>
      <w:r>
        <w:t>.</w:t>
      </w:r>
    </w:p>
    <w:p w14:paraId="48EE288D" w14:textId="77777777" w:rsidR="00817C1B" w:rsidRDefault="00817C1B">
      <w:pPr>
        <w:jc w:val="both"/>
      </w:pPr>
    </w:p>
    <w:p w14:paraId="7396818F" w14:textId="77777777" w:rsidR="00817C1B" w:rsidRDefault="00817C1B">
      <w:pPr>
        <w:jc w:val="both"/>
      </w:pPr>
    </w:p>
    <w:p w14:paraId="6FF55111" w14:textId="77777777" w:rsidR="00817C1B" w:rsidRDefault="00392EBA">
      <w:pPr>
        <w:jc w:val="center"/>
        <w:rPr>
          <w:sz w:val="18"/>
          <w:szCs w:val="18"/>
        </w:rPr>
      </w:pPr>
      <w:r>
        <w:rPr>
          <w:sz w:val="18"/>
          <w:szCs w:val="18"/>
        </w:rPr>
        <w:t>Chart 32a:  Density of CAGRs - QQQ Yearly Change: +60% - +160%</w:t>
      </w:r>
    </w:p>
    <w:p w14:paraId="3133FEC6" w14:textId="77777777" w:rsidR="00817C1B" w:rsidRDefault="00392EBA">
      <w:pPr>
        <w:jc w:val="center"/>
        <w:rPr>
          <w:sz w:val="18"/>
          <w:szCs w:val="18"/>
        </w:rPr>
      </w:pPr>
      <w:r>
        <w:rPr>
          <w:noProof/>
          <w:sz w:val="18"/>
          <w:szCs w:val="18"/>
        </w:rPr>
        <w:drawing>
          <wp:inline distT="114300" distB="114300" distL="114300" distR="114300" wp14:anchorId="45864ECB" wp14:editId="4C899DC2">
            <wp:extent cx="7052400" cy="3086100"/>
            <wp:effectExtent l="0" t="0" r="0" b="0"/>
            <wp:docPr id="106" name="image100.jpg"/>
            <wp:cNvGraphicFramePr/>
            <a:graphic xmlns:a="http://schemas.openxmlformats.org/drawingml/2006/main">
              <a:graphicData uri="http://schemas.openxmlformats.org/drawingml/2006/picture">
                <pic:pic xmlns:pic="http://schemas.openxmlformats.org/drawingml/2006/picture">
                  <pic:nvPicPr>
                    <pic:cNvPr id="0" name="image100.jpg"/>
                    <pic:cNvPicPr preferRelativeResize="0"/>
                  </pic:nvPicPr>
                  <pic:blipFill>
                    <a:blip r:embed="rId142"/>
                    <a:srcRect/>
                    <a:stretch>
                      <a:fillRect/>
                    </a:stretch>
                  </pic:blipFill>
                  <pic:spPr>
                    <a:xfrm>
                      <a:off x="0" y="0"/>
                      <a:ext cx="7052400" cy="3086100"/>
                    </a:xfrm>
                    <a:prstGeom prst="rect">
                      <a:avLst/>
                    </a:prstGeom>
                    <a:ln/>
                  </pic:spPr>
                </pic:pic>
              </a:graphicData>
            </a:graphic>
          </wp:inline>
        </w:drawing>
      </w:r>
    </w:p>
    <w:p w14:paraId="32C1C6AD" w14:textId="77777777" w:rsidR="00817C1B" w:rsidRDefault="00392EBA">
      <w:pPr>
        <w:jc w:val="center"/>
        <w:rPr>
          <w:sz w:val="18"/>
          <w:szCs w:val="18"/>
        </w:rPr>
      </w:pPr>
      <w:r>
        <w:br w:type="page"/>
      </w:r>
    </w:p>
    <w:p w14:paraId="4EEF9F08" w14:textId="77777777" w:rsidR="00817C1B" w:rsidRDefault="00392EBA">
      <w:pPr>
        <w:jc w:val="center"/>
        <w:rPr>
          <w:sz w:val="18"/>
          <w:szCs w:val="18"/>
        </w:rPr>
      </w:pPr>
      <w:r>
        <w:rPr>
          <w:sz w:val="18"/>
          <w:szCs w:val="18"/>
        </w:rPr>
        <w:lastRenderedPageBreak/>
        <w:t>Chart 32b:  Density of Sharpe Ratios - QQQ Yearly Change: +60% - +160%</w:t>
      </w:r>
    </w:p>
    <w:p w14:paraId="59B4DAFC" w14:textId="77777777" w:rsidR="00817C1B" w:rsidRDefault="00392EBA">
      <w:pPr>
        <w:jc w:val="center"/>
        <w:rPr>
          <w:sz w:val="18"/>
          <w:szCs w:val="18"/>
        </w:rPr>
      </w:pPr>
      <w:r>
        <w:rPr>
          <w:noProof/>
          <w:sz w:val="18"/>
          <w:szCs w:val="18"/>
        </w:rPr>
        <w:drawing>
          <wp:inline distT="114300" distB="114300" distL="114300" distR="114300" wp14:anchorId="5675F76A" wp14:editId="06A1727B">
            <wp:extent cx="7052400" cy="3670300"/>
            <wp:effectExtent l="0" t="0" r="0" b="0"/>
            <wp:docPr id="38" name="image33.jpg"/>
            <wp:cNvGraphicFramePr/>
            <a:graphic xmlns:a="http://schemas.openxmlformats.org/drawingml/2006/main">
              <a:graphicData uri="http://schemas.openxmlformats.org/drawingml/2006/picture">
                <pic:pic xmlns:pic="http://schemas.openxmlformats.org/drawingml/2006/picture">
                  <pic:nvPicPr>
                    <pic:cNvPr id="0" name="image33.jpg"/>
                    <pic:cNvPicPr preferRelativeResize="0"/>
                  </pic:nvPicPr>
                  <pic:blipFill>
                    <a:blip r:embed="rId143"/>
                    <a:srcRect/>
                    <a:stretch>
                      <a:fillRect/>
                    </a:stretch>
                  </pic:blipFill>
                  <pic:spPr>
                    <a:xfrm>
                      <a:off x="0" y="0"/>
                      <a:ext cx="7052400" cy="3670300"/>
                    </a:xfrm>
                    <a:prstGeom prst="rect">
                      <a:avLst/>
                    </a:prstGeom>
                    <a:ln/>
                  </pic:spPr>
                </pic:pic>
              </a:graphicData>
            </a:graphic>
          </wp:inline>
        </w:drawing>
      </w:r>
    </w:p>
    <w:p w14:paraId="0A41D0AA" w14:textId="77777777" w:rsidR="00817C1B" w:rsidRDefault="00817C1B">
      <w:pPr>
        <w:jc w:val="center"/>
        <w:rPr>
          <w:sz w:val="18"/>
          <w:szCs w:val="18"/>
        </w:rPr>
      </w:pPr>
    </w:p>
    <w:p w14:paraId="19EEB871" w14:textId="77777777" w:rsidR="00817C1B" w:rsidRDefault="00392EBA">
      <w:pPr>
        <w:jc w:val="center"/>
        <w:rPr>
          <w:sz w:val="18"/>
          <w:szCs w:val="18"/>
        </w:rPr>
      </w:pPr>
      <w:r>
        <w:rPr>
          <w:sz w:val="18"/>
          <w:szCs w:val="18"/>
        </w:rPr>
        <w:t>Chart 32c:  Density of MAR Ratios - QQQ Yearly Change: +60% - +160%</w:t>
      </w:r>
    </w:p>
    <w:p w14:paraId="762680BE" w14:textId="77777777" w:rsidR="00817C1B" w:rsidRDefault="00392EBA">
      <w:pPr>
        <w:jc w:val="center"/>
        <w:rPr>
          <w:sz w:val="18"/>
          <w:szCs w:val="18"/>
        </w:rPr>
      </w:pPr>
      <w:r>
        <w:rPr>
          <w:noProof/>
          <w:sz w:val="18"/>
          <w:szCs w:val="18"/>
        </w:rPr>
        <w:drawing>
          <wp:inline distT="114300" distB="114300" distL="114300" distR="114300" wp14:anchorId="7AB18B68" wp14:editId="083E13DD">
            <wp:extent cx="7052400" cy="3289300"/>
            <wp:effectExtent l="0" t="0" r="0" b="0"/>
            <wp:docPr id="56" name="image52.jpg"/>
            <wp:cNvGraphicFramePr/>
            <a:graphic xmlns:a="http://schemas.openxmlformats.org/drawingml/2006/main">
              <a:graphicData uri="http://schemas.openxmlformats.org/drawingml/2006/picture">
                <pic:pic xmlns:pic="http://schemas.openxmlformats.org/drawingml/2006/picture">
                  <pic:nvPicPr>
                    <pic:cNvPr id="0" name="image52.jpg"/>
                    <pic:cNvPicPr preferRelativeResize="0"/>
                  </pic:nvPicPr>
                  <pic:blipFill>
                    <a:blip r:embed="rId144"/>
                    <a:srcRect/>
                    <a:stretch>
                      <a:fillRect/>
                    </a:stretch>
                  </pic:blipFill>
                  <pic:spPr>
                    <a:xfrm>
                      <a:off x="0" y="0"/>
                      <a:ext cx="7052400" cy="3289300"/>
                    </a:xfrm>
                    <a:prstGeom prst="rect">
                      <a:avLst/>
                    </a:prstGeom>
                    <a:ln/>
                  </pic:spPr>
                </pic:pic>
              </a:graphicData>
            </a:graphic>
          </wp:inline>
        </w:drawing>
      </w:r>
    </w:p>
    <w:p w14:paraId="3E25F3FB" w14:textId="77777777" w:rsidR="00817C1B" w:rsidRDefault="00392EBA">
      <w:pPr>
        <w:jc w:val="center"/>
        <w:rPr>
          <w:sz w:val="18"/>
          <w:szCs w:val="18"/>
        </w:rPr>
      </w:pPr>
      <w:r>
        <w:br w:type="page"/>
      </w:r>
    </w:p>
    <w:p w14:paraId="510DC0DF" w14:textId="77777777" w:rsidR="00817C1B" w:rsidRDefault="00392EBA">
      <w:pPr>
        <w:jc w:val="center"/>
        <w:rPr>
          <w:sz w:val="18"/>
          <w:szCs w:val="18"/>
        </w:rPr>
      </w:pPr>
      <w:r>
        <w:rPr>
          <w:sz w:val="18"/>
          <w:szCs w:val="18"/>
        </w:rPr>
        <w:lastRenderedPageBreak/>
        <w:t>Chart 32d:  Densi</w:t>
      </w:r>
      <w:r>
        <w:rPr>
          <w:sz w:val="18"/>
          <w:szCs w:val="18"/>
        </w:rPr>
        <w:t>ty of Maximum Drawdowns - QQQ Yearly Change: +60% - +160%</w:t>
      </w:r>
    </w:p>
    <w:p w14:paraId="17ACF8F1" w14:textId="77777777" w:rsidR="00817C1B" w:rsidRDefault="00392EBA">
      <w:pPr>
        <w:jc w:val="center"/>
        <w:rPr>
          <w:sz w:val="18"/>
          <w:szCs w:val="18"/>
        </w:rPr>
      </w:pPr>
      <w:r>
        <w:rPr>
          <w:noProof/>
          <w:sz w:val="18"/>
          <w:szCs w:val="18"/>
        </w:rPr>
        <w:drawing>
          <wp:inline distT="114300" distB="114300" distL="114300" distR="114300" wp14:anchorId="508CBB28" wp14:editId="41F4DE60">
            <wp:extent cx="7052400" cy="4051300"/>
            <wp:effectExtent l="0" t="0" r="0" b="0"/>
            <wp:docPr id="91" name="image86.jpg"/>
            <wp:cNvGraphicFramePr/>
            <a:graphic xmlns:a="http://schemas.openxmlformats.org/drawingml/2006/main">
              <a:graphicData uri="http://schemas.openxmlformats.org/drawingml/2006/picture">
                <pic:pic xmlns:pic="http://schemas.openxmlformats.org/drawingml/2006/picture">
                  <pic:nvPicPr>
                    <pic:cNvPr id="0" name="image86.jpg"/>
                    <pic:cNvPicPr preferRelativeResize="0"/>
                  </pic:nvPicPr>
                  <pic:blipFill>
                    <a:blip r:embed="rId145"/>
                    <a:srcRect/>
                    <a:stretch>
                      <a:fillRect/>
                    </a:stretch>
                  </pic:blipFill>
                  <pic:spPr>
                    <a:xfrm>
                      <a:off x="0" y="0"/>
                      <a:ext cx="7052400" cy="4051300"/>
                    </a:xfrm>
                    <a:prstGeom prst="rect">
                      <a:avLst/>
                    </a:prstGeom>
                    <a:ln/>
                  </pic:spPr>
                </pic:pic>
              </a:graphicData>
            </a:graphic>
          </wp:inline>
        </w:drawing>
      </w:r>
    </w:p>
    <w:p w14:paraId="61D6E56E" w14:textId="77777777" w:rsidR="00817C1B" w:rsidRDefault="00817C1B">
      <w:pPr>
        <w:jc w:val="center"/>
        <w:rPr>
          <w:sz w:val="18"/>
          <w:szCs w:val="18"/>
        </w:rPr>
      </w:pPr>
    </w:p>
    <w:p w14:paraId="0C2C896D" w14:textId="77777777" w:rsidR="00817C1B" w:rsidRDefault="00392EBA">
      <w:pPr>
        <w:jc w:val="center"/>
        <w:rPr>
          <w:sz w:val="18"/>
          <w:szCs w:val="18"/>
        </w:rPr>
      </w:pPr>
      <w:r>
        <w:rPr>
          <w:sz w:val="18"/>
          <w:szCs w:val="18"/>
        </w:rPr>
        <w:t>Table 8i: Years when QQQ Yearly Change: +60% - +</w:t>
      </w:r>
      <w:r>
        <w:rPr>
          <w:rFonts w:ascii="Arial Unicode MS" w:eastAsia="Arial Unicode MS" w:hAnsi="Arial Unicode MS" w:cs="Arial Unicode MS"/>
          <w:sz w:val="18"/>
          <w:szCs w:val="18"/>
        </w:rPr>
        <w:t xml:space="preserve">160% </w:t>
      </w:r>
      <w:r>
        <w:rPr>
          <w:rFonts w:ascii="Arial Unicode MS" w:eastAsia="Arial Unicode MS" w:hAnsi="Arial Unicode MS" w:cs="Arial Unicode MS"/>
          <w:sz w:val="18"/>
          <w:szCs w:val="18"/>
        </w:rPr>
        <w:t>ー</w:t>
      </w:r>
      <w:r>
        <w:rPr>
          <w:sz w:val="18"/>
          <w:szCs w:val="18"/>
        </w:rPr>
        <w:t xml:space="preserve"> 1999-2019</w:t>
      </w:r>
    </w:p>
    <w:p w14:paraId="23A0D39F" w14:textId="77777777" w:rsidR="00817C1B" w:rsidRDefault="00392EBA">
      <w:pPr>
        <w:jc w:val="center"/>
        <w:rPr>
          <w:sz w:val="18"/>
          <w:szCs w:val="18"/>
        </w:rPr>
      </w:pPr>
      <w:r>
        <w:rPr>
          <w:noProof/>
          <w:sz w:val="18"/>
          <w:szCs w:val="18"/>
        </w:rPr>
        <w:drawing>
          <wp:inline distT="114300" distB="114300" distL="114300" distR="114300" wp14:anchorId="6A03D17A" wp14:editId="2F8835E6">
            <wp:extent cx="1838325" cy="390525"/>
            <wp:effectExtent l="0" t="0" r="0" b="0"/>
            <wp:docPr id="42" name="image29.png"/>
            <wp:cNvGraphicFramePr/>
            <a:graphic xmlns:a="http://schemas.openxmlformats.org/drawingml/2006/main">
              <a:graphicData uri="http://schemas.openxmlformats.org/drawingml/2006/picture">
                <pic:pic xmlns:pic="http://schemas.openxmlformats.org/drawingml/2006/picture">
                  <pic:nvPicPr>
                    <pic:cNvPr id="0" name="image29.png"/>
                    <pic:cNvPicPr preferRelativeResize="0"/>
                  </pic:nvPicPr>
                  <pic:blipFill>
                    <a:blip r:embed="rId146"/>
                    <a:srcRect/>
                    <a:stretch>
                      <a:fillRect/>
                    </a:stretch>
                  </pic:blipFill>
                  <pic:spPr>
                    <a:xfrm>
                      <a:off x="0" y="0"/>
                      <a:ext cx="1838325" cy="390525"/>
                    </a:xfrm>
                    <a:prstGeom prst="rect">
                      <a:avLst/>
                    </a:prstGeom>
                    <a:ln/>
                  </pic:spPr>
                </pic:pic>
              </a:graphicData>
            </a:graphic>
          </wp:inline>
        </w:drawing>
      </w:r>
    </w:p>
    <w:p w14:paraId="6BE33700" w14:textId="77777777" w:rsidR="00817C1B" w:rsidRDefault="00817C1B">
      <w:pPr>
        <w:jc w:val="center"/>
        <w:rPr>
          <w:sz w:val="18"/>
          <w:szCs w:val="18"/>
        </w:rPr>
      </w:pPr>
    </w:p>
    <w:p w14:paraId="06C1FCB4" w14:textId="77777777" w:rsidR="00817C1B" w:rsidRDefault="00392EBA">
      <w:pPr>
        <w:jc w:val="center"/>
        <w:rPr>
          <w:sz w:val="18"/>
          <w:szCs w:val="18"/>
        </w:rPr>
      </w:pPr>
      <w:r>
        <w:rPr>
          <w:sz w:val="18"/>
          <w:szCs w:val="18"/>
        </w:rPr>
        <w:t>Table 9i: Performance indicators of different strategies - QQQ Yearly Change: +60% - +160%</w:t>
      </w:r>
    </w:p>
    <w:p w14:paraId="5B08490D" w14:textId="77777777" w:rsidR="00817C1B" w:rsidRDefault="00817C1B">
      <w:pPr>
        <w:jc w:val="center"/>
        <w:rPr>
          <w:sz w:val="18"/>
          <w:szCs w:val="18"/>
        </w:rPr>
      </w:pPr>
    </w:p>
    <w:p w14:paraId="67E75262" w14:textId="77777777" w:rsidR="00817C1B" w:rsidRDefault="00392EBA">
      <w:pPr>
        <w:jc w:val="center"/>
        <w:rPr>
          <w:sz w:val="18"/>
          <w:szCs w:val="18"/>
        </w:rPr>
      </w:pPr>
      <w:r>
        <w:rPr>
          <w:noProof/>
          <w:sz w:val="18"/>
          <w:szCs w:val="18"/>
        </w:rPr>
        <w:drawing>
          <wp:inline distT="114300" distB="114300" distL="114300" distR="114300" wp14:anchorId="178886B5" wp14:editId="6BA49289">
            <wp:extent cx="7052400" cy="2159000"/>
            <wp:effectExtent l="0" t="0" r="0" b="0"/>
            <wp:docPr id="83" name="image85.png"/>
            <wp:cNvGraphicFramePr/>
            <a:graphic xmlns:a="http://schemas.openxmlformats.org/drawingml/2006/main">
              <a:graphicData uri="http://schemas.openxmlformats.org/drawingml/2006/picture">
                <pic:pic xmlns:pic="http://schemas.openxmlformats.org/drawingml/2006/picture">
                  <pic:nvPicPr>
                    <pic:cNvPr id="0" name="image85.png"/>
                    <pic:cNvPicPr preferRelativeResize="0"/>
                  </pic:nvPicPr>
                  <pic:blipFill>
                    <a:blip r:embed="rId147"/>
                    <a:srcRect/>
                    <a:stretch>
                      <a:fillRect/>
                    </a:stretch>
                  </pic:blipFill>
                  <pic:spPr>
                    <a:xfrm>
                      <a:off x="0" y="0"/>
                      <a:ext cx="7052400" cy="2159000"/>
                    </a:xfrm>
                    <a:prstGeom prst="rect">
                      <a:avLst/>
                    </a:prstGeom>
                    <a:ln/>
                  </pic:spPr>
                </pic:pic>
              </a:graphicData>
            </a:graphic>
          </wp:inline>
        </w:drawing>
      </w:r>
    </w:p>
    <w:p w14:paraId="30507190" w14:textId="77777777" w:rsidR="00817C1B" w:rsidRDefault="00817C1B">
      <w:pPr>
        <w:jc w:val="center"/>
        <w:rPr>
          <w:sz w:val="18"/>
          <w:szCs w:val="18"/>
        </w:rPr>
      </w:pPr>
    </w:p>
    <w:p w14:paraId="192173BC" w14:textId="77777777" w:rsidR="00817C1B" w:rsidRDefault="00392EBA">
      <w:pPr>
        <w:jc w:val="center"/>
        <w:rPr>
          <w:sz w:val="18"/>
          <w:szCs w:val="18"/>
        </w:rPr>
      </w:pPr>
      <w:r>
        <w:br w:type="page"/>
      </w:r>
    </w:p>
    <w:p w14:paraId="3361C5A5" w14:textId="77777777" w:rsidR="00817C1B" w:rsidRDefault="00392EBA">
      <w:pPr>
        <w:jc w:val="center"/>
        <w:rPr>
          <w:sz w:val="18"/>
          <w:szCs w:val="18"/>
        </w:rPr>
      </w:pPr>
      <w:r>
        <w:rPr>
          <w:sz w:val="18"/>
          <w:szCs w:val="18"/>
        </w:rPr>
        <w:lastRenderedPageBreak/>
        <w:t>Chart 33a:  Density of Differe</w:t>
      </w:r>
      <w:r>
        <w:rPr>
          <w:sz w:val="18"/>
          <w:szCs w:val="18"/>
        </w:rPr>
        <w:t>nces in CAGRs - Compared to B&amp;H QQQ w/o Hedges - QQQ Yearly Change: +60% - +160%</w:t>
      </w:r>
    </w:p>
    <w:p w14:paraId="48E81652" w14:textId="77777777" w:rsidR="00817C1B" w:rsidRDefault="00392EBA">
      <w:pPr>
        <w:jc w:val="center"/>
        <w:rPr>
          <w:sz w:val="18"/>
          <w:szCs w:val="18"/>
        </w:rPr>
      </w:pPr>
      <w:r>
        <w:rPr>
          <w:noProof/>
          <w:sz w:val="18"/>
          <w:szCs w:val="18"/>
        </w:rPr>
        <w:drawing>
          <wp:inline distT="114300" distB="114300" distL="114300" distR="114300" wp14:anchorId="2396883C" wp14:editId="60F52004">
            <wp:extent cx="7052400" cy="3213100"/>
            <wp:effectExtent l="0" t="0" r="0" b="0"/>
            <wp:docPr id="96" name="image91.jpg"/>
            <wp:cNvGraphicFramePr/>
            <a:graphic xmlns:a="http://schemas.openxmlformats.org/drawingml/2006/main">
              <a:graphicData uri="http://schemas.openxmlformats.org/drawingml/2006/picture">
                <pic:pic xmlns:pic="http://schemas.openxmlformats.org/drawingml/2006/picture">
                  <pic:nvPicPr>
                    <pic:cNvPr id="0" name="image91.jpg"/>
                    <pic:cNvPicPr preferRelativeResize="0"/>
                  </pic:nvPicPr>
                  <pic:blipFill>
                    <a:blip r:embed="rId148"/>
                    <a:srcRect/>
                    <a:stretch>
                      <a:fillRect/>
                    </a:stretch>
                  </pic:blipFill>
                  <pic:spPr>
                    <a:xfrm>
                      <a:off x="0" y="0"/>
                      <a:ext cx="7052400" cy="3213100"/>
                    </a:xfrm>
                    <a:prstGeom prst="rect">
                      <a:avLst/>
                    </a:prstGeom>
                    <a:ln/>
                  </pic:spPr>
                </pic:pic>
              </a:graphicData>
            </a:graphic>
          </wp:inline>
        </w:drawing>
      </w:r>
    </w:p>
    <w:p w14:paraId="0AAD174B" w14:textId="77777777" w:rsidR="00817C1B" w:rsidRDefault="00817C1B">
      <w:pPr>
        <w:jc w:val="center"/>
        <w:rPr>
          <w:sz w:val="18"/>
          <w:szCs w:val="18"/>
        </w:rPr>
      </w:pPr>
    </w:p>
    <w:p w14:paraId="2D634102" w14:textId="77777777" w:rsidR="00817C1B" w:rsidRDefault="00392EBA">
      <w:pPr>
        <w:jc w:val="center"/>
        <w:rPr>
          <w:sz w:val="18"/>
          <w:szCs w:val="18"/>
        </w:rPr>
      </w:pPr>
      <w:r>
        <w:rPr>
          <w:sz w:val="18"/>
          <w:szCs w:val="18"/>
        </w:rPr>
        <w:t>Chart 33b:  Density of Differences in Sharpe Ratios - Compared to B&amp;H QQQ w/o Hedges - QQQ Yearly Change: +60% - +160%</w:t>
      </w:r>
    </w:p>
    <w:p w14:paraId="53C1BC5F" w14:textId="77777777" w:rsidR="00817C1B" w:rsidRDefault="00392EBA">
      <w:pPr>
        <w:jc w:val="center"/>
        <w:rPr>
          <w:sz w:val="18"/>
          <w:szCs w:val="18"/>
        </w:rPr>
      </w:pPr>
      <w:r>
        <w:rPr>
          <w:noProof/>
          <w:sz w:val="18"/>
          <w:szCs w:val="18"/>
        </w:rPr>
        <w:drawing>
          <wp:inline distT="114300" distB="114300" distL="114300" distR="114300" wp14:anchorId="36DA1877" wp14:editId="67E94CFE">
            <wp:extent cx="7052400" cy="3416300"/>
            <wp:effectExtent l="0" t="0" r="0" b="0"/>
            <wp:docPr id="29" name="image24.jpg"/>
            <wp:cNvGraphicFramePr/>
            <a:graphic xmlns:a="http://schemas.openxmlformats.org/drawingml/2006/main">
              <a:graphicData uri="http://schemas.openxmlformats.org/drawingml/2006/picture">
                <pic:pic xmlns:pic="http://schemas.openxmlformats.org/drawingml/2006/picture">
                  <pic:nvPicPr>
                    <pic:cNvPr id="0" name="image24.jpg"/>
                    <pic:cNvPicPr preferRelativeResize="0"/>
                  </pic:nvPicPr>
                  <pic:blipFill>
                    <a:blip r:embed="rId149"/>
                    <a:srcRect/>
                    <a:stretch>
                      <a:fillRect/>
                    </a:stretch>
                  </pic:blipFill>
                  <pic:spPr>
                    <a:xfrm>
                      <a:off x="0" y="0"/>
                      <a:ext cx="7052400" cy="3416300"/>
                    </a:xfrm>
                    <a:prstGeom prst="rect">
                      <a:avLst/>
                    </a:prstGeom>
                    <a:ln/>
                  </pic:spPr>
                </pic:pic>
              </a:graphicData>
            </a:graphic>
          </wp:inline>
        </w:drawing>
      </w:r>
    </w:p>
    <w:p w14:paraId="4A646FC3" w14:textId="77777777" w:rsidR="00817C1B" w:rsidRDefault="00392EBA">
      <w:pPr>
        <w:jc w:val="center"/>
        <w:rPr>
          <w:sz w:val="18"/>
          <w:szCs w:val="18"/>
        </w:rPr>
      </w:pPr>
      <w:r>
        <w:br w:type="page"/>
      </w:r>
    </w:p>
    <w:p w14:paraId="0A207139" w14:textId="77777777" w:rsidR="00817C1B" w:rsidRDefault="00392EBA">
      <w:pPr>
        <w:jc w:val="center"/>
        <w:rPr>
          <w:sz w:val="18"/>
          <w:szCs w:val="18"/>
        </w:rPr>
      </w:pPr>
      <w:r>
        <w:rPr>
          <w:sz w:val="18"/>
          <w:szCs w:val="18"/>
        </w:rPr>
        <w:lastRenderedPageBreak/>
        <w:t>Chart 33c:  Density of Differences in MAR Ratios - Compared to B&amp;H QQQ w/o Hedges - QQQ Yearly Change: +60% - +160%</w:t>
      </w:r>
    </w:p>
    <w:p w14:paraId="19A441F8" w14:textId="77777777" w:rsidR="00817C1B" w:rsidRDefault="00392EBA">
      <w:pPr>
        <w:jc w:val="center"/>
        <w:rPr>
          <w:sz w:val="18"/>
          <w:szCs w:val="18"/>
        </w:rPr>
      </w:pPr>
      <w:r>
        <w:rPr>
          <w:noProof/>
          <w:sz w:val="18"/>
          <w:szCs w:val="18"/>
        </w:rPr>
        <w:drawing>
          <wp:inline distT="114300" distB="114300" distL="114300" distR="114300" wp14:anchorId="7C3B9C37" wp14:editId="15E4D20F">
            <wp:extent cx="7052400" cy="3416300"/>
            <wp:effectExtent l="0" t="0" r="0" b="0"/>
            <wp:docPr id="76" name="image71.jpg"/>
            <wp:cNvGraphicFramePr/>
            <a:graphic xmlns:a="http://schemas.openxmlformats.org/drawingml/2006/main">
              <a:graphicData uri="http://schemas.openxmlformats.org/drawingml/2006/picture">
                <pic:pic xmlns:pic="http://schemas.openxmlformats.org/drawingml/2006/picture">
                  <pic:nvPicPr>
                    <pic:cNvPr id="0" name="image71.jpg"/>
                    <pic:cNvPicPr preferRelativeResize="0"/>
                  </pic:nvPicPr>
                  <pic:blipFill>
                    <a:blip r:embed="rId150"/>
                    <a:srcRect/>
                    <a:stretch>
                      <a:fillRect/>
                    </a:stretch>
                  </pic:blipFill>
                  <pic:spPr>
                    <a:xfrm>
                      <a:off x="0" y="0"/>
                      <a:ext cx="7052400" cy="3416300"/>
                    </a:xfrm>
                    <a:prstGeom prst="rect">
                      <a:avLst/>
                    </a:prstGeom>
                    <a:ln/>
                  </pic:spPr>
                </pic:pic>
              </a:graphicData>
            </a:graphic>
          </wp:inline>
        </w:drawing>
      </w:r>
    </w:p>
    <w:p w14:paraId="4D838BA7" w14:textId="77777777" w:rsidR="00817C1B" w:rsidRDefault="00817C1B">
      <w:pPr>
        <w:jc w:val="center"/>
        <w:rPr>
          <w:sz w:val="18"/>
          <w:szCs w:val="18"/>
        </w:rPr>
      </w:pPr>
    </w:p>
    <w:p w14:paraId="4A916739" w14:textId="77777777" w:rsidR="00817C1B" w:rsidRDefault="00392EBA">
      <w:pPr>
        <w:jc w:val="center"/>
        <w:rPr>
          <w:sz w:val="18"/>
          <w:szCs w:val="18"/>
        </w:rPr>
      </w:pPr>
      <w:r>
        <w:rPr>
          <w:sz w:val="18"/>
          <w:szCs w:val="18"/>
        </w:rPr>
        <w:t>Chart 33d:  Density of Differences in Maximum Drawdowns - Compared to B&amp;H QQQ w/o Hedges - QQQ Yearly Change: +60% - +160%</w:t>
      </w:r>
    </w:p>
    <w:p w14:paraId="4731E294" w14:textId="77777777" w:rsidR="00817C1B" w:rsidRDefault="00392EBA">
      <w:pPr>
        <w:jc w:val="center"/>
        <w:rPr>
          <w:sz w:val="18"/>
          <w:szCs w:val="18"/>
        </w:rPr>
      </w:pPr>
      <w:r>
        <w:rPr>
          <w:noProof/>
          <w:sz w:val="18"/>
          <w:szCs w:val="18"/>
        </w:rPr>
        <w:drawing>
          <wp:inline distT="114300" distB="114300" distL="114300" distR="114300" wp14:anchorId="065B4878" wp14:editId="76F7CDDA">
            <wp:extent cx="7052400" cy="3416300"/>
            <wp:effectExtent l="0" t="0" r="0" b="0"/>
            <wp:docPr id="75" name="image67.jpg"/>
            <wp:cNvGraphicFramePr/>
            <a:graphic xmlns:a="http://schemas.openxmlformats.org/drawingml/2006/main">
              <a:graphicData uri="http://schemas.openxmlformats.org/drawingml/2006/picture">
                <pic:pic xmlns:pic="http://schemas.openxmlformats.org/drawingml/2006/picture">
                  <pic:nvPicPr>
                    <pic:cNvPr id="0" name="image67.jpg"/>
                    <pic:cNvPicPr preferRelativeResize="0"/>
                  </pic:nvPicPr>
                  <pic:blipFill>
                    <a:blip r:embed="rId151"/>
                    <a:srcRect/>
                    <a:stretch>
                      <a:fillRect/>
                    </a:stretch>
                  </pic:blipFill>
                  <pic:spPr>
                    <a:xfrm>
                      <a:off x="0" y="0"/>
                      <a:ext cx="7052400" cy="3416300"/>
                    </a:xfrm>
                    <a:prstGeom prst="rect">
                      <a:avLst/>
                    </a:prstGeom>
                    <a:ln/>
                  </pic:spPr>
                </pic:pic>
              </a:graphicData>
            </a:graphic>
          </wp:inline>
        </w:drawing>
      </w:r>
    </w:p>
    <w:p w14:paraId="5FCE1EAE" w14:textId="77777777" w:rsidR="00817C1B" w:rsidRDefault="00392EBA">
      <w:pPr>
        <w:jc w:val="center"/>
        <w:rPr>
          <w:sz w:val="18"/>
          <w:szCs w:val="18"/>
        </w:rPr>
      </w:pPr>
      <w:r>
        <w:br w:type="page"/>
      </w:r>
    </w:p>
    <w:p w14:paraId="017BEE07" w14:textId="77777777" w:rsidR="00817C1B" w:rsidRDefault="00392EBA">
      <w:pPr>
        <w:jc w:val="center"/>
        <w:rPr>
          <w:sz w:val="18"/>
          <w:szCs w:val="18"/>
        </w:rPr>
      </w:pPr>
      <w:r>
        <w:rPr>
          <w:sz w:val="18"/>
          <w:szCs w:val="18"/>
        </w:rPr>
        <w:lastRenderedPageBreak/>
        <w:t>Table 10i:</w:t>
      </w:r>
      <w:r>
        <w:rPr>
          <w:sz w:val="18"/>
          <w:szCs w:val="18"/>
        </w:rPr>
        <w:t xml:space="preserve"> Performance indicators of differences compared to B&amp;H QQQ w/o Hedges - QQQ Yearly Change: +60% - +160%</w:t>
      </w:r>
    </w:p>
    <w:p w14:paraId="0A673CD7" w14:textId="77777777" w:rsidR="00817C1B" w:rsidRDefault="00817C1B">
      <w:pPr>
        <w:jc w:val="center"/>
        <w:rPr>
          <w:sz w:val="18"/>
          <w:szCs w:val="18"/>
        </w:rPr>
      </w:pPr>
    </w:p>
    <w:p w14:paraId="3595C3B9" w14:textId="77777777" w:rsidR="00817C1B" w:rsidRDefault="00392EBA">
      <w:pPr>
        <w:jc w:val="center"/>
        <w:rPr>
          <w:sz w:val="18"/>
          <w:szCs w:val="18"/>
        </w:rPr>
      </w:pPr>
      <w:r>
        <w:rPr>
          <w:noProof/>
          <w:sz w:val="18"/>
          <w:szCs w:val="18"/>
        </w:rPr>
        <w:drawing>
          <wp:inline distT="114300" distB="114300" distL="114300" distR="114300" wp14:anchorId="1BA10F1F" wp14:editId="0CCDD389">
            <wp:extent cx="7052400" cy="2781300"/>
            <wp:effectExtent l="0" t="0" r="0" b="0"/>
            <wp:docPr id="86" name="image80.png"/>
            <wp:cNvGraphicFramePr/>
            <a:graphic xmlns:a="http://schemas.openxmlformats.org/drawingml/2006/main">
              <a:graphicData uri="http://schemas.openxmlformats.org/drawingml/2006/picture">
                <pic:pic xmlns:pic="http://schemas.openxmlformats.org/drawingml/2006/picture">
                  <pic:nvPicPr>
                    <pic:cNvPr id="0" name="image80.png"/>
                    <pic:cNvPicPr preferRelativeResize="0"/>
                  </pic:nvPicPr>
                  <pic:blipFill>
                    <a:blip r:embed="rId152"/>
                    <a:srcRect/>
                    <a:stretch>
                      <a:fillRect/>
                    </a:stretch>
                  </pic:blipFill>
                  <pic:spPr>
                    <a:xfrm>
                      <a:off x="0" y="0"/>
                      <a:ext cx="7052400" cy="2781300"/>
                    </a:xfrm>
                    <a:prstGeom prst="rect">
                      <a:avLst/>
                    </a:prstGeom>
                    <a:ln/>
                  </pic:spPr>
                </pic:pic>
              </a:graphicData>
            </a:graphic>
          </wp:inline>
        </w:drawing>
      </w:r>
      <w:r>
        <w:br w:type="page"/>
      </w:r>
    </w:p>
    <w:p w14:paraId="4D82575A" w14:textId="77777777" w:rsidR="00817C1B" w:rsidRDefault="00392EBA">
      <w:pPr>
        <w:pStyle w:val="Heading3"/>
        <w:jc w:val="both"/>
        <w:rPr>
          <w:color w:val="741B47"/>
        </w:rPr>
      </w:pPr>
      <w:bookmarkStart w:id="16" w:name="_2z8el0elzobm" w:colFirst="0" w:colLast="0"/>
      <w:bookmarkEnd w:id="16"/>
      <w:r>
        <w:rPr>
          <w:color w:val="741B47"/>
        </w:rPr>
        <w:lastRenderedPageBreak/>
        <w:t>Summary of Simulation</w:t>
      </w:r>
    </w:p>
    <w:p w14:paraId="1C5DF043" w14:textId="77777777" w:rsidR="00817C1B" w:rsidRDefault="00817C1B"/>
    <w:p w14:paraId="5AD708A3" w14:textId="77777777" w:rsidR="00817C1B" w:rsidRDefault="00392EBA">
      <w:pPr>
        <w:jc w:val="both"/>
      </w:pPr>
      <w:r>
        <w:t xml:space="preserve">In this section, the </w:t>
      </w:r>
      <w:r>
        <w:rPr>
          <w:b/>
        </w:rPr>
        <w:t>results of a Monte-Carlo simulation</w:t>
      </w:r>
      <w:r>
        <w:t xml:space="preserve"> was presented and analysed. The </w:t>
      </w:r>
      <w:r>
        <w:rPr>
          <w:b/>
        </w:rPr>
        <w:t>30,000 simulated cases</w:t>
      </w:r>
      <w:r>
        <w:t xml:space="preserve"> were split in</w:t>
      </w:r>
      <w:r>
        <w:t xml:space="preserve">to </w:t>
      </w:r>
      <w:r>
        <w:rPr>
          <w:b/>
        </w:rPr>
        <w:t>9 groups by the CAGR</w:t>
      </w:r>
      <w:r>
        <w:t xml:space="preserve"> of </w:t>
      </w:r>
      <w:proofErr w:type="spellStart"/>
      <w:r>
        <w:t>buy&amp;hold</w:t>
      </w:r>
      <w:proofErr w:type="spellEnd"/>
      <w:r>
        <w:t xml:space="preserve"> QQQ and all of the groups into </w:t>
      </w:r>
      <w:r>
        <w:rPr>
          <w:b/>
        </w:rPr>
        <w:t>7 sub-groups by maximum drawdown</w:t>
      </w:r>
      <w:r>
        <w:t>. The examined strategies were:</w:t>
      </w:r>
    </w:p>
    <w:p w14:paraId="06734E4E" w14:textId="77777777" w:rsidR="00817C1B" w:rsidRDefault="00392EBA">
      <w:pPr>
        <w:numPr>
          <w:ilvl w:val="0"/>
          <w:numId w:val="3"/>
        </w:numPr>
        <w:spacing w:before="120" w:line="273" w:lineRule="auto"/>
        <w:jc w:val="both"/>
      </w:pPr>
      <w:r>
        <w:rPr>
          <w:b/>
          <w:u w:val="single"/>
        </w:rPr>
        <w:t>‘Pure QQQ’</w:t>
      </w:r>
      <w:r>
        <w:rPr>
          <w:u w:val="single"/>
        </w:rPr>
        <w:t>:</w:t>
      </w:r>
      <w:r>
        <w:t xml:space="preserve"> 100% long QQQ;</w:t>
      </w:r>
    </w:p>
    <w:p w14:paraId="108FA7D5" w14:textId="77777777" w:rsidR="00817C1B" w:rsidRDefault="00392EBA">
      <w:pPr>
        <w:numPr>
          <w:ilvl w:val="0"/>
          <w:numId w:val="3"/>
        </w:numPr>
        <w:spacing w:before="120" w:line="273" w:lineRule="auto"/>
        <w:jc w:val="both"/>
      </w:pPr>
      <w:r>
        <w:rPr>
          <w:b/>
          <w:u w:val="single"/>
        </w:rPr>
        <w:t>‘Put hedge’</w:t>
      </w:r>
      <w:r>
        <w:rPr>
          <w:u w:val="single"/>
        </w:rPr>
        <w:t>:</w:t>
      </w:r>
      <w:r>
        <w:t xml:space="preserve"> 100% long QQQ + 100% long put option;</w:t>
      </w:r>
    </w:p>
    <w:p w14:paraId="72265145" w14:textId="77777777" w:rsidR="00817C1B" w:rsidRDefault="00392EBA">
      <w:pPr>
        <w:numPr>
          <w:ilvl w:val="0"/>
          <w:numId w:val="3"/>
        </w:numPr>
        <w:spacing w:before="120" w:line="273" w:lineRule="auto"/>
        <w:jc w:val="both"/>
      </w:pPr>
      <w:r>
        <w:rPr>
          <w:b/>
          <w:u w:val="single"/>
        </w:rPr>
        <w:t>‘Bond hedge’</w:t>
      </w:r>
      <w:r>
        <w:rPr>
          <w:u w:val="single"/>
        </w:rPr>
        <w:t>:</w:t>
      </w:r>
      <w:r>
        <w:t xml:space="preserve"> 100% long QQQ + 60% long TLT;</w:t>
      </w:r>
    </w:p>
    <w:p w14:paraId="4308BB6D" w14:textId="77777777" w:rsidR="00817C1B" w:rsidRDefault="00392EBA">
      <w:pPr>
        <w:numPr>
          <w:ilvl w:val="0"/>
          <w:numId w:val="3"/>
        </w:numPr>
        <w:spacing w:before="120" w:line="273" w:lineRule="auto"/>
        <w:jc w:val="both"/>
      </w:pPr>
      <w:r>
        <w:rPr>
          <w:b/>
          <w:u w:val="single"/>
        </w:rPr>
        <w:t>‘Combined’</w:t>
      </w:r>
      <w:r>
        <w:rPr>
          <w:u w:val="single"/>
        </w:rPr>
        <w:t>:</w:t>
      </w:r>
      <w:r>
        <w:t xml:space="preserve"> 100% long QQQ + 50% long put option + 30% long TLT.</w:t>
      </w:r>
    </w:p>
    <w:p w14:paraId="410B2C13" w14:textId="77777777" w:rsidR="00817C1B" w:rsidRDefault="00817C1B">
      <w:pPr>
        <w:jc w:val="both"/>
      </w:pPr>
    </w:p>
    <w:p w14:paraId="64A6A8D2" w14:textId="77777777" w:rsidR="00817C1B" w:rsidRDefault="00817C1B">
      <w:pPr>
        <w:jc w:val="both"/>
      </w:pPr>
    </w:p>
    <w:p w14:paraId="68A76AE9" w14:textId="77777777" w:rsidR="00817C1B" w:rsidRDefault="00392EBA">
      <w:pPr>
        <w:jc w:val="both"/>
      </w:pPr>
      <w:r>
        <w:t xml:space="preserve">Table 11 contains our </w:t>
      </w:r>
      <w:r>
        <w:rPr>
          <w:b/>
        </w:rPr>
        <w:t>strategy rank in each cases and the frequency of these cases in real life from 2019</w:t>
      </w:r>
      <w:r>
        <w:t xml:space="preserve">. Table 12a-b and Table 13a-b show the </w:t>
      </w:r>
      <w:r>
        <w:rPr>
          <w:b/>
        </w:rPr>
        <w:t>arithmetic mean</w:t>
      </w:r>
      <w:r>
        <w:rPr>
          <w:b/>
        </w:rPr>
        <w:t xml:space="preserve"> of performance indicators by sub-groups in one table</w:t>
      </w:r>
      <w:r>
        <w:t xml:space="preserve"> to be easily comparable.</w:t>
      </w:r>
    </w:p>
    <w:p w14:paraId="79BD58B0" w14:textId="77777777" w:rsidR="00817C1B" w:rsidRDefault="00817C1B">
      <w:pPr>
        <w:jc w:val="both"/>
      </w:pPr>
    </w:p>
    <w:p w14:paraId="7000554A" w14:textId="77777777" w:rsidR="00817C1B" w:rsidRDefault="00392EBA">
      <w:pPr>
        <w:jc w:val="both"/>
      </w:pPr>
      <w:r>
        <w:t xml:space="preserve">We found that although the </w:t>
      </w:r>
      <w:r>
        <w:rPr>
          <w:b/>
        </w:rPr>
        <w:t>‘Put hedge’ strategy performs well in extremely bearish cases, it costs too much in other cases and can erode almost all of the profit of long QQQ</w:t>
      </w:r>
      <w:r>
        <w:t>. I</w:t>
      </w:r>
      <w:r>
        <w:t xml:space="preserve">n contrast, </w:t>
      </w:r>
      <w:r>
        <w:rPr>
          <w:b/>
        </w:rPr>
        <w:t>‘Bond hedge’ strategy can improve the profitability of QQQ both in bearish and bullish regimes, but cannot hedge its losses perfectly</w:t>
      </w:r>
      <w:r>
        <w:t>. However,</w:t>
      </w:r>
      <w:r>
        <w:rPr>
          <w:b/>
        </w:rPr>
        <w:t xml:space="preserve"> combining them could be a good idea both for risk averse and risk prone investors</w:t>
      </w:r>
      <w:r>
        <w:t xml:space="preserve">. </w:t>
      </w:r>
    </w:p>
    <w:p w14:paraId="57D4F3BD" w14:textId="77777777" w:rsidR="00817C1B" w:rsidRDefault="00817C1B">
      <w:pPr>
        <w:jc w:val="both"/>
      </w:pPr>
    </w:p>
    <w:p w14:paraId="1F977D3E" w14:textId="77777777" w:rsidR="00817C1B" w:rsidRDefault="00817C1B">
      <w:pPr>
        <w:jc w:val="both"/>
      </w:pPr>
    </w:p>
    <w:p w14:paraId="11AC765D" w14:textId="77777777" w:rsidR="00817C1B" w:rsidRDefault="00392EBA">
      <w:pPr>
        <w:jc w:val="both"/>
      </w:pPr>
      <w:r>
        <w:t>Based on these</w:t>
      </w:r>
      <w:r>
        <w:t xml:space="preserve"> findings, our recommendation is playing the </w:t>
      </w:r>
      <w:r>
        <w:rPr>
          <w:b/>
        </w:rPr>
        <w:t>‘Combined QQQ Insurance Strategy’</w:t>
      </w:r>
      <w:r>
        <w:t>:</w:t>
      </w:r>
    </w:p>
    <w:p w14:paraId="2045822A" w14:textId="77777777" w:rsidR="00817C1B" w:rsidRDefault="00392EBA">
      <w:pPr>
        <w:spacing w:before="120" w:line="273" w:lineRule="auto"/>
        <w:jc w:val="center"/>
      </w:pPr>
      <w:r>
        <w:rPr>
          <w:b/>
        </w:rPr>
        <w:t>100% long QQQ stock + 30% long TLT stock + 50% long put option hedge.</w:t>
      </w:r>
    </w:p>
    <w:p w14:paraId="259F3776" w14:textId="77777777" w:rsidR="00817C1B" w:rsidRDefault="00817C1B">
      <w:pPr>
        <w:jc w:val="both"/>
      </w:pPr>
    </w:p>
    <w:p w14:paraId="681F782A" w14:textId="77777777" w:rsidR="00817C1B" w:rsidRDefault="00392EBA">
      <w:pPr>
        <w:jc w:val="center"/>
      </w:pPr>
      <w:r>
        <w:rPr>
          <w:sz w:val="18"/>
          <w:szCs w:val="18"/>
        </w:rPr>
        <w:t>Table 11: Strategy Rank by CAGR of B&amp;H QQQ</w:t>
      </w:r>
    </w:p>
    <w:p w14:paraId="1A51DC58" w14:textId="77777777" w:rsidR="00817C1B" w:rsidRDefault="00392EBA">
      <w:pPr>
        <w:jc w:val="center"/>
      </w:pPr>
      <w:r>
        <w:rPr>
          <w:noProof/>
        </w:rPr>
        <w:drawing>
          <wp:inline distT="114300" distB="114300" distL="114300" distR="114300" wp14:anchorId="4F38D5E2" wp14:editId="527211E6">
            <wp:extent cx="5429250" cy="2219325"/>
            <wp:effectExtent l="0" t="0" r="0" b="0"/>
            <wp:docPr id="52" name="image48.png"/>
            <wp:cNvGraphicFramePr/>
            <a:graphic xmlns:a="http://schemas.openxmlformats.org/drawingml/2006/main">
              <a:graphicData uri="http://schemas.openxmlformats.org/drawingml/2006/picture">
                <pic:pic xmlns:pic="http://schemas.openxmlformats.org/drawingml/2006/picture">
                  <pic:nvPicPr>
                    <pic:cNvPr id="0" name="image48.png"/>
                    <pic:cNvPicPr preferRelativeResize="0"/>
                  </pic:nvPicPr>
                  <pic:blipFill>
                    <a:blip r:embed="rId153"/>
                    <a:srcRect/>
                    <a:stretch>
                      <a:fillRect/>
                    </a:stretch>
                  </pic:blipFill>
                  <pic:spPr>
                    <a:xfrm>
                      <a:off x="0" y="0"/>
                      <a:ext cx="5429250" cy="2219325"/>
                    </a:xfrm>
                    <a:prstGeom prst="rect">
                      <a:avLst/>
                    </a:prstGeom>
                    <a:ln/>
                  </pic:spPr>
                </pic:pic>
              </a:graphicData>
            </a:graphic>
          </wp:inline>
        </w:drawing>
      </w:r>
    </w:p>
    <w:p w14:paraId="517EE3D3" w14:textId="77777777" w:rsidR="00817C1B" w:rsidRDefault="00817C1B">
      <w:pPr>
        <w:jc w:val="center"/>
        <w:rPr>
          <w:sz w:val="18"/>
          <w:szCs w:val="18"/>
        </w:rPr>
      </w:pPr>
    </w:p>
    <w:p w14:paraId="0BF6F6EA" w14:textId="77777777" w:rsidR="00817C1B" w:rsidRDefault="00392EBA">
      <w:pPr>
        <w:jc w:val="center"/>
        <w:rPr>
          <w:sz w:val="18"/>
          <w:szCs w:val="18"/>
        </w:rPr>
      </w:pPr>
      <w:r>
        <w:br w:type="page"/>
      </w:r>
    </w:p>
    <w:p w14:paraId="1C6B19A5" w14:textId="77777777" w:rsidR="00817C1B" w:rsidRDefault="00392EBA">
      <w:pPr>
        <w:jc w:val="center"/>
        <w:rPr>
          <w:sz w:val="18"/>
          <w:szCs w:val="18"/>
        </w:rPr>
      </w:pPr>
      <w:r>
        <w:rPr>
          <w:sz w:val="18"/>
          <w:szCs w:val="18"/>
        </w:rPr>
        <w:lastRenderedPageBreak/>
        <w:t xml:space="preserve">Table 12a: Arithmetic Mean of Performance Indicators of Different Strategies - by CAGR and MDD of </w:t>
      </w:r>
      <w:proofErr w:type="spellStart"/>
      <w:r>
        <w:rPr>
          <w:sz w:val="18"/>
          <w:szCs w:val="18"/>
        </w:rPr>
        <w:t>Buy&amp;Hold</w:t>
      </w:r>
      <w:proofErr w:type="spellEnd"/>
      <w:r>
        <w:rPr>
          <w:sz w:val="18"/>
          <w:szCs w:val="18"/>
        </w:rPr>
        <w:t xml:space="preserve"> QQQ </w:t>
      </w:r>
    </w:p>
    <w:p w14:paraId="53C38FFA" w14:textId="77777777" w:rsidR="00817C1B" w:rsidRDefault="00817C1B">
      <w:pPr>
        <w:jc w:val="center"/>
        <w:rPr>
          <w:sz w:val="18"/>
          <w:szCs w:val="18"/>
        </w:rPr>
      </w:pPr>
    </w:p>
    <w:p w14:paraId="10775D23" w14:textId="77777777" w:rsidR="00817C1B" w:rsidRDefault="00392EBA">
      <w:pPr>
        <w:jc w:val="center"/>
        <w:rPr>
          <w:sz w:val="18"/>
          <w:szCs w:val="18"/>
        </w:rPr>
      </w:pPr>
      <w:r>
        <w:rPr>
          <w:noProof/>
          <w:sz w:val="18"/>
          <w:szCs w:val="18"/>
        </w:rPr>
        <w:drawing>
          <wp:inline distT="114300" distB="114300" distL="114300" distR="114300" wp14:anchorId="7D257360" wp14:editId="20C82D60">
            <wp:extent cx="7052400" cy="5422900"/>
            <wp:effectExtent l="0" t="0" r="0" b="0"/>
            <wp:docPr id="68" name="image70.png"/>
            <wp:cNvGraphicFramePr/>
            <a:graphic xmlns:a="http://schemas.openxmlformats.org/drawingml/2006/main">
              <a:graphicData uri="http://schemas.openxmlformats.org/drawingml/2006/picture">
                <pic:pic xmlns:pic="http://schemas.openxmlformats.org/drawingml/2006/picture">
                  <pic:nvPicPr>
                    <pic:cNvPr id="0" name="image70.png"/>
                    <pic:cNvPicPr preferRelativeResize="0"/>
                  </pic:nvPicPr>
                  <pic:blipFill>
                    <a:blip r:embed="rId154"/>
                    <a:srcRect/>
                    <a:stretch>
                      <a:fillRect/>
                    </a:stretch>
                  </pic:blipFill>
                  <pic:spPr>
                    <a:xfrm>
                      <a:off x="0" y="0"/>
                      <a:ext cx="7052400" cy="5422900"/>
                    </a:xfrm>
                    <a:prstGeom prst="rect">
                      <a:avLst/>
                    </a:prstGeom>
                    <a:ln/>
                  </pic:spPr>
                </pic:pic>
              </a:graphicData>
            </a:graphic>
          </wp:inline>
        </w:drawing>
      </w:r>
      <w:r>
        <w:br w:type="page"/>
      </w:r>
    </w:p>
    <w:p w14:paraId="4E3CD018" w14:textId="77777777" w:rsidR="00817C1B" w:rsidRDefault="00392EBA">
      <w:pPr>
        <w:jc w:val="center"/>
        <w:rPr>
          <w:sz w:val="18"/>
          <w:szCs w:val="18"/>
        </w:rPr>
      </w:pPr>
      <w:r>
        <w:rPr>
          <w:sz w:val="18"/>
          <w:szCs w:val="18"/>
        </w:rPr>
        <w:lastRenderedPageBreak/>
        <w:t xml:space="preserve">Table 12b: Arithmetic Mean of Performance Indicators of Different Strategies - by CAGR and MDD of </w:t>
      </w:r>
      <w:proofErr w:type="spellStart"/>
      <w:r>
        <w:rPr>
          <w:sz w:val="18"/>
          <w:szCs w:val="18"/>
        </w:rPr>
        <w:t>Buy&amp;Hold</w:t>
      </w:r>
      <w:proofErr w:type="spellEnd"/>
      <w:r>
        <w:rPr>
          <w:sz w:val="18"/>
          <w:szCs w:val="18"/>
        </w:rPr>
        <w:t xml:space="preserve"> QQQ</w:t>
      </w:r>
    </w:p>
    <w:p w14:paraId="0E081465" w14:textId="77777777" w:rsidR="00817C1B" w:rsidRDefault="00392EBA">
      <w:pPr>
        <w:jc w:val="center"/>
        <w:rPr>
          <w:sz w:val="18"/>
          <w:szCs w:val="18"/>
        </w:rPr>
      </w:pPr>
      <w:r>
        <w:rPr>
          <w:sz w:val="18"/>
          <w:szCs w:val="18"/>
        </w:rPr>
        <w:t xml:space="preserve"> </w:t>
      </w:r>
    </w:p>
    <w:p w14:paraId="67031AD7" w14:textId="77777777" w:rsidR="00817C1B" w:rsidRDefault="00392EBA">
      <w:pPr>
        <w:jc w:val="center"/>
        <w:rPr>
          <w:sz w:val="18"/>
          <w:szCs w:val="18"/>
        </w:rPr>
      </w:pPr>
      <w:r>
        <w:rPr>
          <w:noProof/>
          <w:sz w:val="18"/>
          <w:szCs w:val="18"/>
        </w:rPr>
        <w:drawing>
          <wp:inline distT="114300" distB="114300" distL="114300" distR="114300" wp14:anchorId="3A818D53" wp14:editId="17176DA4">
            <wp:extent cx="7052400" cy="6883400"/>
            <wp:effectExtent l="0" t="0" r="0" b="0"/>
            <wp:docPr id="16"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55"/>
                    <a:srcRect/>
                    <a:stretch>
                      <a:fillRect/>
                    </a:stretch>
                  </pic:blipFill>
                  <pic:spPr>
                    <a:xfrm>
                      <a:off x="0" y="0"/>
                      <a:ext cx="7052400" cy="6883400"/>
                    </a:xfrm>
                    <a:prstGeom prst="rect">
                      <a:avLst/>
                    </a:prstGeom>
                    <a:ln/>
                  </pic:spPr>
                </pic:pic>
              </a:graphicData>
            </a:graphic>
          </wp:inline>
        </w:drawing>
      </w:r>
      <w:r>
        <w:br w:type="page"/>
      </w:r>
    </w:p>
    <w:p w14:paraId="7D299420" w14:textId="77777777" w:rsidR="00817C1B" w:rsidRDefault="00392EBA">
      <w:pPr>
        <w:jc w:val="center"/>
        <w:rPr>
          <w:sz w:val="18"/>
          <w:szCs w:val="18"/>
        </w:rPr>
      </w:pPr>
      <w:r>
        <w:rPr>
          <w:sz w:val="18"/>
          <w:szCs w:val="18"/>
        </w:rPr>
        <w:lastRenderedPageBreak/>
        <w:t>Table 13a: Arithmetic Me</w:t>
      </w:r>
      <w:r>
        <w:rPr>
          <w:sz w:val="18"/>
          <w:szCs w:val="18"/>
        </w:rPr>
        <w:t xml:space="preserve">an of Differences of Performance Indicators - Compared to B&amp;H QQQ - by CAGR and MDD of </w:t>
      </w:r>
      <w:proofErr w:type="spellStart"/>
      <w:r>
        <w:rPr>
          <w:sz w:val="18"/>
          <w:szCs w:val="18"/>
        </w:rPr>
        <w:t>Buy&amp;Hold</w:t>
      </w:r>
      <w:proofErr w:type="spellEnd"/>
      <w:r>
        <w:rPr>
          <w:sz w:val="18"/>
          <w:szCs w:val="18"/>
        </w:rPr>
        <w:t xml:space="preserve"> QQQ </w:t>
      </w:r>
    </w:p>
    <w:p w14:paraId="3F2490A7" w14:textId="77777777" w:rsidR="00817C1B" w:rsidRDefault="00817C1B">
      <w:pPr>
        <w:jc w:val="center"/>
        <w:rPr>
          <w:sz w:val="18"/>
          <w:szCs w:val="18"/>
        </w:rPr>
      </w:pPr>
    </w:p>
    <w:p w14:paraId="78CE2869" w14:textId="77777777" w:rsidR="00817C1B" w:rsidRDefault="00392EBA">
      <w:pPr>
        <w:jc w:val="center"/>
        <w:rPr>
          <w:sz w:val="18"/>
          <w:szCs w:val="18"/>
        </w:rPr>
      </w:pPr>
      <w:r>
        <w:rPr>
          <w:noProof/>
          <w:sz w:val="18"/>
          <w:szCs w:val="18"/>
        </w:rPr>
        <w:drawing>
          <wp:inline distT="114300" distB="114300" distL="114300" distR="114300" wp14:anchorId="78D5E0CD" wp14:editId="401E0977">
            <wp:extent cx="7052400" cy="6934200"/>
            <wp:effectExtent l="0" t="0" r="0" b="0"/>
            <wp:docPr id="65" name="image77.png"/>
            <wp:cNvGraphicFramePr/>
            <a:graphic xmlns:a="http://schemas.openxmlformats.org/drawingml/2006/main">
              <a:graphicData uri="http://schemas.openxmlformats.org/drawingml/2006/picture">
                <pic:pic xmlns:pic="http://schemas.openxmlformats.org/drawingml/2006/picture">
                  <pic:nvPicPr>
                    <pic:cNvPr id="0" name="image77.png"/>
                    <pic:cNvPicPr preferRelativeResize="0"/>
                  </pic:nvPicPr>
                  <pic:blipFill>
                    <a:blip r:embed="rId156"/>
                    <a:srcRect/>
                    <a:stretch>
                      <a:fillRect/>
                    </a:stretch>
                  </pic:blipFill>
                  <pic:spPr>
                    <a:xfrm>
                      <a:off x="0" y="0"/>
                      <a:ext cx="7052400" cy="6934200"/>
                    </a:xfrm>
                    <a:prstGeom prst="rect">
                      <a:avLst/>
                    </a:prstGeom>
                    <a:ln/>
                  </pic:spPr>
                </pic:pic>
              </a:graphicData>
            </a:graphic>
          </wp:inline>
        </w:drawing>
      </w:r>
      <w:r>
        <w:br w:type="page"/>
      </w:r>
    </w:p>
    <w:p w14:paraId="17F14ADE" w14:textId="77777777" w:rsidR="00817C1B" w:rsidRDefault="00392EBA">
      <w:pPr>
        <w:jc w:val="center"/>
        <w:rPr>
          <w:sz w:val="18"/>
          <w:szCs w:val="18"/>
        </w:rPr>
      </w:pPr>
      <w:r>
        <w:rPr>
          <w:sz w:val="18"/>
          <w:szCs w:val="18"/>
        </w:rPr>
        <w:lastRenderedPageBreak/>
        <w:t xml:space="preserve">Table 13b: Arithmetic Mean of Differences of Performance Indicators - Compared to B&amp;H QQQ - by CAGR and MDD of </w:t>
      </w:r>
      <w:proofErr w:type="spellStart"/>
      <w:r>
        <w:rPr>
          <w:sz w:val="18"/>
          <w:szCs w:val="18"/>
        </w:rPr>
        <w:t>Buy&amp;Hold</w:t>
      </w:r>
      <w:proofErr w:type="spellEnd"/>
      <w:r>
        <w:rPr>
          <w:sz w:val="18"/>
          <w:szCs w:val="18"/>
        </w:rPr>
        <w:t xml:space="preserve"> QQQ </w:t>
      </w:r>
    </w:p>
    <w:p w14:paraId="1ED1F0E8" w14:textId="77777777" w:rsidR="00817C1B" w:rsidRDefault="00817C1B">
      <w:pPr>
        <w:jc w:val="center"/>
        <w:rPr>
          <w:sz w:val="18"/>
          <w:szCs w:val="18"/>
        </w:rPr>
      </w:pPr>
    </w:p>
    <w:p w14:paraId="7713A7FB" w14:textId="77777777" w:rsidR="00817C1B" w:rsidRDefault="00392EBA">
      <w:pPr>
        <w:jc w:val="center"/>
        <w:rPr>
          <w:sz w:val="18"/>
          <w:szCs w:val="18"/>
        </w:rPr>
      </w:pPr>
      <w:r>
        <w:rPr>
          <w:noProof/>
          <w:sz w:val="18"/>
          <w:szCs w:val="18"/>
        </w:rPr>
        <w:drawing>
          <wp:inline distT="114300" distB="114300" distL="114300" distR="114300" wp14:anchorId="5B5DF0C5" wp14:editId="3DEAADE7">
            <wp:extent cx="6457950" cy="8039100"/>
            <wp:effectExtent l="0" t="0" r="0" b="0"/>
            <wp:docPr id="115" name="image109.png"/>
            <wp:cNvGraphicFramePr/>
            <a:graphic xmlns:a="http://schemas.openxmlformats.org/drawingml/2006/main">
              <a:graphicData uri="http://schemas.openxmlformats.org/drawingml/2006/picture">
                <pic:pic xmlns:pic="http://schemas.openxmlformats.org/drawingml/2006/picture">
                  <pic:nvPicPr>
                    <pic:cNvPr id="0" name="image109.png"/>
                    <pic:cNvPicPr preferRelativeResize="0"/>
                  </pic:nvPicPr>
                  <pic:blipFill>
                    <a:blip r:embed="rId157"/>
                    <a:srcRect/>
                    <a:stretch>
                      <a:fillRect/>
                    </a:stretch>
                  </pic:blipFill>
                  <pic:spPr>
                    <a:xfrm>
                      <a:off x="0" y="0"/>
                      <a:ext cx="6457950" cy="8039100"/>
                    </a:xfrm>
                    <a:prstGeom prst="rect">
                      <a:avLst/>
                    </a:prstGeom>
                    <a:ln/>
                  </pic:spPr>
                </pic:pic>
              </a:graphicData>
            </a:graphic>
          </wp:inline>
        </w:drawing>
      </w:r>
    </w:p>
    <w:p w14:paraId="48202EC3" w14:textId="77777777" w:rsidR="00817C1B" w:rsidRDefault="00392EBA">
      <w:pPr>
        <w:pStyle w:val="Heading1"/>
        <w:pBdr>
          <w:top w:val="nil"/>
          <w:left w:val="nil"/>
          <w:bottom w:val="nil"/>
          <w:right w:val="nil"/>
          <w:between w:val="nil"/>
        </w:pBdr>
        <w:rPr>
          <w:color w:val="38761D"/>
        </w:rPr>
      </w:pPr>
      <w:bookmarkStart w:id="17" w:name="_j9rr8wj8s6kk" w:colFirst="0" w:colLast="0"/>
      <w:bookmarkEnd w:id="17"/>
      <w:r>
        <w:br w:type="page"/>
      </w:r>
    </w:p>
    <w:p w14:paraId="15AEBBF2" w14:textId="77777777" w:rsidR="00817C1B" w:rsidRDefault="00392EBA">
      <w:pPr>
        <w:pStyle w:val="Heading1"/>
        <w:pBdr>
          <w:top w:val="nil"/>
          <w:left w:val="nil"/>
          <w:bottom w:val="nil"/>
          <w:right w:val="nil"/>
          <w:between w:val="nil"/>
        </w:pBdr>
        <w:rPr>
          <w:color w:val="38761D"/>
        </w:rPr>
      </w:pPr>
      <w:bookmarkStart w:id="18" w:name="_853zpfgwfbqd" w:colFirst="0" w:colLast="0"/>
      <w:bookmarkEnd w:id="18"/>
      <w:r>
        <w:rPr>
          <w:color w:val="38761D"/>
        </w:rPr>
        <w:lastRenderedPageBreak/>
        <w:t>Conclusions</w:t>
      </w:r>
    </w:p>
    <w:p w14:paraId="6B6CE2DE" w14:textId="77777777" w:rsidR="00817C1B" w:rsidRDefault="00817C1B">
      <w:pPr>
        <w:pBdr>
          <w:top w:val="nil"/>
          <w:left w:val="nil"/>
          <w:bottom w:val="nil"/>
          <w:right w:val="nil"/>
          <w:between w:val="nil"/>
        </w:pBdr>
        <w:jc w:val="both"/>
        <w:rPr>
          <w:rFonts w:ascii="Trebuchet MS" w:eastAsia="Trebuchet MS" w:hAnsi="Trebuchet MS" w:cs="Trebuchet MS"/>
          <w:color w:val="38761D"/>
          <w:sz w:val="32"/>
          <w:szCs w:val="32"/>
        </w:rPr>
      </w:pPr>
    </w:p>
    <w:p w14:paraId="4B484214" w14:textId="77777777" w:rsidR="00817C1B" w:rsidRDefault="00392EBA">
      <w:pPr>
        <w:jc w:val="both"/>
      </w:pPr>
      <w:r>
        <w:t>In this study, we have tried digging deeper into our ‘QQQ Put Option Insurance Strategy’.</w:t>
      </w:r>
    </w:p>
    <w:p w14:paraId="2E1BD49B" w14:textId="77777777" w:rsidR="00817C1B" w:rsidRDefault="00817C1B">
      <w:pPr>
        <w:jc w:val="both"/>
      </w:pPr>
    </w:p>
    <w:p w14:paraId="7CB801E4" w14:textId="77777777" w:rsidR="00817C1B" w:rsidRDefault="00392EBA">
      <w:pPr>
        <w:jc w:val="both"/>
      </w:pPr>
      <w:r>
        <w:t xml:space="preserve">At first, it was presented </w:t>
      </w:r>
      <w:r>
        <w:rPr>
          <w:b/>
        </w:rPr>
        <w:t>how the strategy would have performed from 2011 until the first half of 2019 using real option and stock prices</w:t>
      </w:r>
      <w:r>
        <w:t>. It was clearly visible th</w:t>
      </w:r>
      <w:r>
        <w:t xml:space="preserve">at </w:t>
      </w:r>
      <w:r>
        <w:rPr>
          <w:b/>
        </w:rPr>
        <w:t xml:space="preserve">although the insurance strategy has lower CAGR than the pure </w:t>
      </w:r>
      <w:proofErr w:type="spellStart"/>
      <w:r>
        <w:rPr>
          <w:b/>
        </w:rPr>
        <w:t>buy&amp;hold</w:t>
      </w:r>
      <w:proofErr w:type="spellEnd"/>
      <w:r>
        <w:rPr>
          <w:b/>
        </w:rPr>
        <w:t xml:space="preserve"> strategy, it has slightly better Sharpe- and MAR-ratio and lower maximum drawdown. </w:t>
      </w:r>
      <w:r>
        <w:t xml:space="preserve">It is worth emphasizing that the </w:t>
      </w:r>
      <w:proofErr w:type="spellStart"/>
      <w:r>
        <w:t>backtested</w:t>
      </w:r>
      <w:proofErr w:type="spellEnd"/>
      <w:r>
        <w:t xml:space="preserve"> period was </w:t>
      </w:r>
      <w:r>
        <w:rPr>
          <w:b/>
        </w:rPr>
        <w:t>mostly bullish</w:t>
      </w:r>
      <w:r>
        <w:t>, when generally insurance stra</w:t>
      </w:r>
      <w:r>
        <w:t>tegies cannot perform well.</w:t>
      </w:r>
    </w:p>
    <w:p w14:paraId="3A2D81E3" w14:textId="77777777" w:rsidR="00817C1B" w:rsidRDefault="00817C1B">
      <w:pPr>
        <w:jc w:val="both"/>
      </w:pPr>
    </w:p>
    <w:p w14:paraId="7EDCB741" w14:textId="77777777" w:rsidR="00817C1B" w:rsidRDefault="00392EBA">
      <w:pPr>
        <w:jc w:val="both"/>
      </w:pPr>
      <w:r>
        <w:t xml:space="preserve">Secondly, we examined </w:t>
      </w:r>
      <w:r>
        <w:rPr>
          <w:b/>
        </w:rPr>
        <w:t xml:space="preserve">what extent the success of this put option insurance strategy depends on market volatility. </w:t>
      </w:r>
      <w:r>
        <w:t>We have seen that</w:t>
      </w:r>
      <w:r>
        <w:rPr>
          <w:b/>
        </w:rPr>
        <w:t xml:space="preserve"> options are more expensive to buy when volatility is high</w:t>
      </w:r>
      <w:r>
        <w:t xml:space="preserve">, but </w:t>
      </w:r>
      <w:r>
        <w:rPr>
          <w:b/>
        </w:rPr>
        <w:t>profitability of the insurance s</w:t>
      </w:r>
      <w:r>
        <w:rPr>
          <w:b/>
        </w:rPr>
        <w:t>trategy does not depend on the historical volatility at the moment of buying options</w:t>
      </w:r>
      <w:r>
        <w:t xml:space="preserve">. However, </w:t>
      </w:r>
      <w:r>
        <w:rPr>
          <w:b/>
        </w:rPr>
        <w:t xml:space="preserve">higher volatility during the life of the option (i.e. historical volatility at sell) has significantly negative relationship with the profitability of the whole </w:t>
      </w:r>
      <w:r>
        <w:rPr>
          <w:b/>
        </w:rPr>
        <w:t>strategy</w:t>
      </w:r>
      <w:r>
        <w:t>.</w:t>
      </w:r>
    </w:p>
    <w:p w14:paraId="746F37FD" w14:textId="77777777" w:rsidR="00817C1B" w:rsidRDefault="00817C1B">
      <w:pPr>
        <w:jc w:val="both"/>
      </w:pPr>
    </w:p>
    <w:p w14:paraId="69C3DD05" w14:textId="77777777" w:rsidR="00817C1B" w:rsidRDefault="00392EBA">
      <w:pPr>
        <w:jc w:val="both"/>
      </w:pPr>
      <w:r>
        <w:t xml:space="preserve">After that, the effect of </w:t>
      </w:r>
      <w:r>
        <w:rPr>
          <w:b/>
        </w:rPr>
        <w:t>QQQ price change in the month before buying option</w:t>
      </w:r>
      <w:r>
        <w:t xml:space="preserve"> has been </w:t>
      </w:r>
      <w:proofErr w:type="spellStart"/>
      <w:r>
        <w:t>analyzed</w:t>
      </w:r>
      <w:proofErr w:type="spellEnd"/>
      <w:r>
        <w:t xml:space="preserve">. We have found that </w:t>
      </w:r>
      <w:r>
        <w:rPr>
          <w:b/>
        </w:rPr>
        <w:t>it does not affect the profitability of the whole strategy in any way</w:t>
      </w:r>
      <w:r>
        <w:t xml:space="preserve">. It means that the </w:t>
      </w:r>
      <w:r>
        <w:rPr>
          <w:b/>
        </w:rPr>
        <w:t>put insurance strategy should be played b</w:t>
      </w:r>
      <w:r>
        <w:rPr>
          <w:b/>
        </w:rPr>
        <w:t>oth in bearish and bullish regimes</w:t>
      </w:r>
      <w:r>
        <w:t>.</w:t>
      </w:r>
    </w:p>
    <w:p w14:paraId="1A02E940" w14:textId="77777777" w:rsidR="00817C1B" w:rsidRDefault="00817C1B">
      <w:pPr>
        <w:jc w:val="both"/>
      </w:pPr>
    </w:p>
    <w:p w14:paraId="7CBB0D52" w14:textId="77777777" w:rsidR="00817C1B" w:rsidRDefault="00392EBA">
      <w:pPr>
        <w:jc w:val="both"/>
        <w:rPr>
          <w:b/>
        </w:rPr>
      </w:pPr>
      <w:r>
        <w:t xml:space="preserve">In the next subsection the </w:t>
      </w:r>
      <w:r>
        <w:rPr>
          <w:b/>
        </w:rPr>
        <w:t>distribution of monthly profits</w:t>
      </w:r>
      <w:r>
        <w:t xml:space="preserve"> has been shown. </w:t>
      </w:r>
      <w:r>
        <w:rPr>
          <w:b/>
        </w:rPr>
        <w:t xml:space="preserve">Although the put option part - which profits only in scary bear periods - is profitable only in 20.83% of months (and in 73.47% totally loser - </w:t>
      </w:r>
      <w:r>
        <w:rPr>
          <w:b/>
        </w:rPr>
        <w:t xml:space="preserve">goes to $0), the pure </w:t>
      </w:r>
      <w:proofErr w:type="spellStart"/>
      <w:r>
        <w:rPr>
          <w:b/>
        </w:rPr>
        <w:t>buy&amp;hold</w:t>
      </w:r>
      <w:proofErr w:type="spellEnd"/>
      <w:r>
        <w:rPr>
          <w:b/>
        </w:rPr>
        <w:t xml:space="preserve"> QQQ can lose even -13.5% in these months. In contrast, the maximal loss of put option part is limited (~-4%). In other words, the bull-preferring </w:t>
      </w:r>
      <w:proofErr w:type="spellStart"/>
      <w:r>
        <w:rPr>
          <w:b/>
        </w:rPr>
        <w:t>buy&amp;hold</w:t>
      </w:r>
      <w:proofErr w:type="spellEnd"/>
      <w:r>
        <w:rPr>
          <w:b/>
        </w:rPr>
        <w:t xml:space="preserve"> QQQ is profitable in about 70% of months in the </w:t>
      </w:r>
      <w:proofErr w:type="spellStart"/>
      <w:r>
        <w:rPr>
          <w:b/>
        </w:rPr>
        <w:t>backtested</w:t>
      </w:r>
      <w:proofErr w:type="spellEnd"/>
      <w:r>
        <w:rPr>
          <w:b/>
        </w:rPr>
        <w:t xml:space="preserve"> period, but</w:t>
      </w:r>
      <w:r>
        <w:rPr>
          <w:b/>
        </w:rPr>
        <w:t xml:space="preserve"> has some big losses. Meanwhile, put options are naturally loss-makers in bullish and sideways regimes. It is more important that the combined long QQQ + put insurance strategy (Total) was profitable in 52.08% of time with almost 1% monthly profit on avera</w:t>
      </w:r>
      <w:r>
        <w:rPr>
          <w:b/>
        </w:rPr>
        <w:t>ge and has limited risk.</w:t>
      </w:r>
    </w:p>
    <w:p w14:paraId="2EFAF129" w14:textId="77777777" w:rsidR="00817C1B" w:rsidRDefault="00817C1B">
      <w:pPr>
        <w:jc w:val="both"/>
        <w:rPr>
          <w:b/>
        </w:rPr>
      </w:pPr>
    </w:p>
    <w:p w14:paraId="6C027ACC" w14:textId="77777777" w:rsidR="00817C1B" w:rsidRDefault="00392EBA">
      <w:pPr>
        <w:jc w:val="both"/>
        <w:rPr>
          <w:b/>
        </w:rPr>
      </w:pPr>
      <w:r>
        <w:t xml:space="preserve">Afterwards the </w:t>
      </w:r>
      <w:r>
        <w:rPr>
          <w:b/>
        </w:rPr>
        <w:t>possibility of</w:t>
      </w:r>
      <w:r>
        <w:t xml:space="preserve"> </w:t>
      </w:r>
      <w:r>
        <w:rPr>
          <w:b/>
        </w:rPr>
        <w:t>using double option exposure</w:t>
      </w:r>
      <w:r>
        <w:t xml:space="preserve"> has been checked (because the 100% put option part can only protect the long QQQ part from significant losses, it cannot generate profit). Based on the results of this sub</w:t>
      </w:r>
      <w:r>
        <w:t xml:space="preserve">section we found that </w:t>
      </w:r>
      <w:r>
        <w:rPr>
          <w:b/>
        </w:rPr>
        <w:t>double exposure should not be used in case of either bull or bear markets.</w:t>
      </w:r>
    </w:p>
    <w:p w14:paraId="362DDA33" w14:textId="77777777" w:rsidR="00817C1B" w:rsidRDefault="00817C1B">
      <w:pPr>
        <w:jc w:val="both"/>
        <w:rPr>
          <w:b/>
        </w:rPr>
      </w:pPr>
    </w:p>
    <w:p w14:paraId="18189432" w14:textId="77777777" w:rsidR="00817C1B" w:rsidRDefault="00392EBA">
      <w:pPr>
        <w:jc w:val="both"/>
      </w:pPr>
      <w:r>
        <w:t xml:space="preserve">Our next idea was </w:t>
      </w:r>
      <w:r>
        <w:rPr>
          <w:b/>
        </w:rPr>
        <w:t>extending our ‘QQQ Put Option Insurance Strategy’ with bonds</w:t>
      </w:r>
      <w:r>
        <w:t xml:space="preserve">. It has been concluded that </w:t>
      </w:r>
      <w:r>
        <w:rPr>
          <w:b/>
        </w:rPr>
        <w:t>although bonds (long TLT or short TMV) cannot perfe</w:t>
      </w:r>
      <w:r>
        <w:rPr>
          <w:b/>
        </w:rPr>
        <w:t xml:space="preserve">ctly hedge the risk exposure of long QQQ, it may be a promising additional hedge, which is even able to generate profit in both bullish and bearish times. </w:t>
      </w:r>
      <w:r>
        <w:t xml:space="preserve">Based on our examinations, our recommended </w:t>
      </w:r>
      <w:r>
        <w:rPr>
          <w:b/>
        </w:rPr>
        <w:t>‘Combined QQQ Insurance Strategy’</w:t>
      </w:r>
      <w:r>
        <w:t xml:space="preserve"> with </w:t>
      </w:r>
      <w:r>
        <w:rPr>
          <w:b/>
        </w:rPr>
        <w:t>monthly rebalancing</w:t>
      </w:r>
      <w:r>
        <w:t xml:space="preserve"> is the following:</w:t>
      </w:r>
    </w:p>
    <w:p w14:paraId="01FA0873" w14:textId="77777777" w:rsidR="00817C1B" w:rsidRDefault="00392EBA">
      <w:pPr>
        <w:spacing w:before="120" w:line="273" w:lineRule="auto"/>
        <w:jc w:val="center"/>
        <w:rPr>
          <w:b/>
        </w:rPr>
      </w:pPr>
      <w:r>
        <w:rPr>
          <w:b/>
          <w:sz w:val="28"/>
          <w:szCs w:val="28"/>
          <w:u w:val="single"/>
        </w:rPr>
        <w:t>100% long QQQ stock + 30% long TLT stock + 50% long put option hedge</w:t>
      </w:r>
      <w:r>
        <w:rPr>
          <w:b/>
        </w:rPr>
        <w:t>.</w:t>
      </w:r>
    </w:p>
    <w:p w14:paraId="7022E5C9" w14:textId="77777777" w:rsidR="00817C1B" w:rsidRDefault="00392EBA">
      <w:pPr>
        <w:spacing w:before="120" w:line="273" w:lineRule="auto"/>
        <w:jc w:val="both"/>
        <w:rPr>
          <w:b/>
        </w:rPr>
      </w:pPr>
      <w:r>
        <w:rPr>
          <w:b/>
        </w:rPr>
        <w:t>This strategy can be profitable in any market environment with unlimited profit potential and almost limited risk. The leverage of this strategy is about 131% (100%+30</w:t>
      </w:r>
      <w:r>
        <w:rPr>
          <w:b/>
        </w:rPr>
        <w:t>%+~1%). If 3x leveraged ETFs (TMF, TMV) are used instead of TLT, the 30% TLT part only takes up 10% of the PV capital.</w:t>
      </w:r>
    </w:p>
    <w:p w14:paraId="05D65134" w14:textId="77777777" w:rsidR="00817C1B" w:rsidRDefault="00817C1B">
      <w:pPr>
        <w:spacing w:before="120" w:line="273" w:lineRule="auto"/>
        <w:jc w:val="both"/>
        <w:rPr>
          <w:b/>
        </w:rPr>
      </w:pPr>
    </w:p>
    <w:p w14:paraId="09F5E1C7" w14:textId="77777777" w:rsidR="00817C1B" w:rsidRDefault="00392EBA">
      <w:pPr>
        <w:spacing w:before="120" w:line="273" w:lineRule="auto"/>
        <w:jc w:val="both"/>
      </w:pPr>
      <w:r>
        <w:t xml:space="preserve">As a last step, we checked with </w:t>
      </w:r>
      <w:r>
        <w:rPr>
          <w:b/>
        </w:rPr>
        <w:t>Monte-Carlo simulations</w:t>
      </w:r>
      <w:r>
        <w:t xml:space="preserve"> (</w:t>
      </w:r>
      <w:r>
        <w:rPr>
          <w:b/>
        </w:rPr>
        <w:t>30,000 simulations</w:t>
      </w:r>
      <w:r>
        <w:t xml:space="preserve"> were run) </w:t>
      </w:r>
      <w:r>
        <w:rPr>
          <w:b/>
        </w:rPr>
        <w:t>how this strategy would behave in different market</w:t>
      </w:r>
      <w:r>
        <w:rPr>
          <w:b/>
        </w:rPr>
        <w:t xml:space="preserve"> environments: in bullish periods, in case of sideways market and in really difficult times (i.e. in long bearish regimes)</w:t>
      </w:r>
      <w:r>
        <w:t xml:space="preserve">. We found that although the </w:t>
      </w:r>
      <w:r>
        <w:rPr>
          <w:b/>
        </w:rPr>
        <w:t xml:space="preserve">‘Put hedge’ strategy </w:t>
      </w:r>
      <w:r>
        <w:t xml:space="preserve">(aka ‘QQQ Put </w:t>
      </w:r>
      <w:r>
        <w:lastRenderedPageBreak/>
        <w:t xml:space="preserve">Option Insurance Strategy’) </w:t>
      </w:r>
      <w:r>
        <w:rPr>
          <w:b/>
        </w:rPr>
        <w:t xml:space="preserve">performs well in extremely bearish cases, </w:t>
      </w:r>
      <w:r>
        <w:rPr>
          <w:b/>
        </w:rPr>
        <w:t>it costs too much in other cases</w:t>
      </w:r>
      <w:r>
        <w:rPr>
          <w:b/>
          <w:vertAlign w:val="superscript"/>
        </w:rPr>
        <w:footnoteReference w:id="6"/>
      </w:r>
      <w:r>
        <w:rPr>
          <w:b/>
        </w:rPr>
        <w:t xml:space="preserve"> and can erode almost all of the profit of long QQQ</w:t>
      </w:r>
      <w:r>
        <w:t xml:space="preserve">. In contrast, </w:t>
      </w:r>
      <w:r>
        <w:rPr>
          <w:b/>
        </w:rPr>
        <w:t xml:space="preserve">‘Bond hedge’ </w:t>
      </w:r>
      <w:r>
        <w:t>(100% long QQQ + 60% long TLT)</w:t>
      </w:r>
      <w:r>
        <w:rPr>
          <w:b/>
        </w:rPr>
        <w:t xml:space="preserve"> strategy can improve the profitability of QQQ both in bearish and bullish regimes, but cannot hedge its losses perfectly</w:t>
      </w:r>
      <w:r>
        <w:t>. However,</w:t>
      </w:r>
      <w:r>
        <w:rPr>
          <w:b/>
        </w:rPr>
        <w:t xml:space="preserve"> combining them could be a good idea both for risk averse and risk prone investors</w:t>
      </w:r>
      <w:r>
        <w:t xml:space="preserve">. Thus, using our newly developed </w:t>
      </w:r>
      <w:r>
        <w:rPr>
          <w:b/>
        </w:rPr>
        <w:t>‘Combined</w:t>
      </w:r>
      <w:r>
        <w:rPr>
          <w:b/>
        </w:rPr>
        <w:t xml:space="preserve"> QQQ Insurance Strategy’ in any market environment is highly recommended.</w:t>
      </w:r>
    </w:p>
    <w:sectPr w:rsidR="00817C1B">
      <w:headerReference w:type="even" r:id="rId158"/>
      <w:headerReference w:type="default" r:id="rId159"/>
      <w:footerReference w:type="even" r:id="rId160"/>
      <w:footerReference w:type="default" r:id="rId161"/>
      <w:headerReference w:type="first" r:id="rId162"/>
      <w:footerReference w:type="first" r:id="rId163"/>
      <w:pgSz w:w="12240" w:h="15840"/>
      <w:pgMar w:top="566" w:right="566" w:bottom="566" w:left="566"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1A417C" w14:textId="77777777" w:rsidR="00392EBA" w:rsidRDefault="00392EBA">
      <w:pPr>
        <w:spacing w:line="240" w:lineRule="auto"/>
      </w:pPr>
      <w:r>
        <w:separator/>
      </w:r>
    </w:p>
  </w:endnote>
  <w:endnote w:type="continuationSeparator" w:id="0">
    <w:p w14:paraId="19EF7BFE" w14:textId="77777777" w:rsidR="00392EBA" w:rsidRDefault="00392EB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Unicode MS">
    <w:altName w:val="Arial"/>
    <w:panose1 w:val="020B0604020202020204"/>
    <w:charset w:val="00"/>
    <w:family w:val="auto"/>
    <w:pitch w:val="default"/>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214D16" w14:textId="77777777" w:rsidR="006304CC" w:rsidRDefault="006304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1ED79D" w14:textId="77777777" w:rsidR="00817C1B" w:rsidRDefault="00392EBA">
    <w:pPr>
      <w:pBdr>
        <w:top w:val="nil"/>
        <w:left w:val="nil"/>
        <w:bottom w:val="nil"/>
        <w:right w:val="nil"/>
        <w:between w:val="nil"/>
      </w:pBdr>
      <w:jc w:val="right"/>
    </w:pPr>
    <w:r>
      <w:fldChar w:fldCharType="begin"/>
    </w:r>
    <w:r>
      <w:instrText>PAGE</w:instrText>
    </w:r>
    <w:r w:rsidR="006304CC">
      <w:fldChar w:fldCharType="separate"/>
    </w:r>
    <w:r w:rsidR="006304CC">
      <w:rPr>
        <w:noProof/>
      </w:rPr>
      <w:t>1</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69558A" w14:textId="77777777" w:rsidR="006304CC" w:rsidRDefault="006304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52EC67" w14:textId="77777777" w:rsidR="00392EBA" w:rsidRDefault="00392EBA">
      <w:pPr>
        <w:spacing w:line="240" w:lineRule="auto"/>
      </w:pPr>
      <w:r>
        <w:separator/>
      </w:r>
    </w:p>
  </w:footnote>
  <w:footnote w:type="continuationSeparator" w:id="0">
    <w:p w14:paraId="05F48AD9" w14:textId="77777777" w:rsidR="00392EBA" w:rsidRDefault="00392EBA">
      <w:pPr>
        <w:spacing w:line="240" w:lineRule="auto"/>
      </w:pPr>
      <w:r>
        <w:continuationSeparator/>
      </w:r>
    </w:p>
  </w:footnote>
  <w:footnote w:id="1">
    <w:p w14:paraId="7D72B32D" w14:textId="77777777" w:rsidR="00817C1B" w:rsidRDefault="00392EBA">
      <w:pPr>
        <w:spacing w:line="240" w:lineRule="auto"/>
        <w:jc w:val="both"/>
        <w:rPr>
          <w:sz w:val="20"/>
          <w:szCs w:val="20"/>
        </w:rPr>
      </w:pPr>
      <w:r>
        <w:rPr>
          <w:vertAlign w:val="superscript"/>
        </w:rPr>
        <w:footnoteRef/>
      </w:r>
      <w:r>
        <w:rPr>
          <w:sz w:val="20"/>
          <w:szCs w:val="20"/>
        </w:rPr>
        <w:t xml:space="preserve"> To the best of our knowledge, QQQ options exist since April 16, 2003. But unfortunately, data between 2004-02-12 and 2008-12-31 is not available even from CBOE website.</w:t>
      </w:r>
    </w:p>
  </w:footnote>
  <w:footnote w:id="2">
    <w:p w14:paraId="3450C840" w14:textId="77777777" w:rsidR="00817C1B" w:rsidRDefault="00392EBA">
      <w:pPr>
        <w:spacing w:line="240" w:lineRule="auto"/>
        <w:rPr>
          <w:sz w:val="20"/>
          <w:szCs w:val="20"/>
        </w:rPr>
      </w:pPr>
      <w:r>
        <w:rPr>
          <w:vertAlign w:val="superscript"/>
        </w:rPr>
        <w:footnoteRef/>
      </w:r>
      <w:r>
        <w:rPr>
          <w:sz w:val="20"/>
          <w:szCs w:val="20"/>
        </w:rPr>
        <w:t xml:space="preserve"> </w:t>
      </w:r>
      <w:hyperlink r:id="rId1">
        <w:r>
          <w:rPr>
            <w:color w:val="1155CC"/>
            <w:sz w:val="20"/>
            <w:szCs w:val="20"/>
            <w:u w:val="single"/>
          </w:rPr>
          <w:t>https://www.optiontradingtips.com/strategies/protective-put.html</w:t>
        </w:r>
      </w:hyperlink>
    </w:p>
  </w:footnote>
  <w:footnote w:id="3">
    <w:p w14:paraId="1A1EFF51" w14:textId="77777777" w:rsidR="00817C1B" w:rsidRDefault="00392EBA">
      <w:pPr>
        <w:spacing w:line="240" w:lineRule="auto"/>
        <w:rPr>
          <w:sz w:val="20"/>
          <w:szCs w:val="20"/>
        </w:rPr>
      </w:pPr>
      <w:r>
        <w:rPr>
          <w:vertAlign w:val="superscript"/>
        </w:rPr>
        <w:footnoteRef/>
      </w:r>
      <w:r>
        <w:rPr>
          <w:sz w:val="20"/>
          <w:szCs w:val="20"/>
        </w:rPr>
        <w:t xml:space="preserve"> By Didier Charmat on 2019-01-02.</w:t>
      </w:r>
    </w:p>
  </w:footnote>
  <w:footnote w:id="4">
    <w:p w14:paraId="32358584" w14:textId="77777777" w:rsidR="00817C1B" w:rsidRDefault="00392EBA">
      <w:pPr>
        <w:spacing w:line="240" w:lineRule="auto"/>
        <w:rPr>
          <w:sz w:val="20"/>
          <w:szCs w:val="20"/>
        </w:rPr>
      </w:pPr>
      <w:r>
        <w:rPr>
          <w:vertAlign w:val="superscript"/>
        </w:rPr>
        <w:footnoteRef/>
      </w:r>
      <w:r>
        <w:rPr>
          <w:sz w:val="20"/>
          <w:szCs w:val="20"/>
        </w:rPr>
        <w:t xml:space="preserve"> Arithmetic mean of option prices in the examined period: 1.9% of the total PV.</w:t>
      </w:r>
    </w:p>
  </w:footnote>
  <w:footnote w:id="5">
    <w:p w14:paraId="4A4FF08B" w14:textId="77777777" w:rsidR="00817C1B" w:rsidRDefault="00392EBA">
      <w:pPr>
        <w:spacing w:line="240" w:lineRule="auto"/>
        <w:rPr>
          <w:b/>
          <w:sz w:val="20"/>
          <w:szCs w:val="20"/>
        </w:rPr>
      </w:pPr>
      <w:r>
        <w:rPr>
          <w:vertAlign w:val="superscript"/>
        </w:rPr>
        <w:footnoteRef/>
      </w:r>
      <w:r>
        <w:rPr>
          <w:sz w:val="20"/>
          <w:szCs w:val="20"/>
        </w:rPr>
        <w:t xml:space="preserve"> </w:t>
      </w:r>
      <w:r>
        <w:rPr>
          <w:b/>
          <w:sz w:val="20"/>
          <w:szCs w:val="20"/>
        </w:rPr>
        <w:t xml:space="preserve">It is worth noting that negative Sharpe ratio or MAR ratio does not convey any useful meaning. In fact, between two negative Sharpe (or MAR) ratio, usually the more negative </w:t>
      </w:r>
      <w:r>
        <w:rPr>
          <w:b/>
          <w:sz w:val="20"/>
          <w:szCs w:val="20"/>
        </w:rPr>
        <w:t>SR (e.g. same negative return but lower volatility) or MAR (e.g. same negative return but lower MDD) means even better (but negative) performance.</w:t>
      </w:r>
    </w:p>
  </w:footnote>
  <w:footnote w:id="6">
    <w:p w14:paraId="77CBEB4B" w14:textId="77777777" w:rsidR="00817C1B" w:rsidRDefault="00392EBA">
      <w:pPr>
        <w:spacing w:line="240" w:lineRule="auto"/>
        <w:rPr>
          <w:sz w:val="20"/>
          <w:szCs w:val="20"/>
        </w:rPr>
      </w:pPr>
      <w:r>
        <w:rPr>
          <w:vertAlign w:val="superscript"/>
        </w:rPr>
        <w:footnoteRef/>
      </w:r>
      <w:r>
        <w:rPr>
          <w:sz w:val="20"/>
          <w:szCs w:val="20"/>
        </w:rPr>
        <w:t xml:space="preserve"> An interesting article in this topic: </w:t>
      </w:r>
      <w:hyperlink r:id="rId2">
        <w:r>
          <w:rPr>
            <w:color w:val="1155CC"/>
            <w:sz w:val="20"/>
            <w:szCs w:val="20"/>
            <w:u w:val="single"/>
          </w:rPr>
          <w:t>‘The True Cost Of Hedging S&amp;P Downside’</w:t>
        </w:r>
      </w:hyperlink>
      <w:r>
        <w:rPr>
          <w:sz w:val="20"/>
          <w:szCs w:val="20"/>
        </w:rPr>
        <w:t xml:space="preserve"> by Adam Collins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65D520" w14:textId="77777777" w:rsidR="006304CC" w:rsidRDefault="006304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FB7D27" w14:textId="4183D89E" w:rsidR="00817C1B" w:rsidRDefault="00392EBA">
    <w:pPr>
      <w:pBdr>
        <w:top w:val="nil"/>
        <w:left w:val="nil"/>
        <w:bottom w:val="nil"/>
        <w:right w:val="nil"/>
        <w:between w:val="nil"/>
      </w:pBdr>
    </w:pPr>
    <w:r>
      <w:t xml:space="preserve">In-Depth Analysis of QQQ Put Option Insurance Strategy   </w:t>
    </w:r>
    <w:r>
      <w:tab/>
      <w:t xml:space="preserve"> by </w:t>
    </w:r>
    <w:proofErr w:type="spellStart"/>
    <w:r w:rsidR="006304CC">
      <w:t>Dr.</w:t>
    </w:r>
    <w:proofErr w:type="spellEnd"/>
    <w:r w:rsidR="006304CC">
      <w:t xml:space="preserve"> George </w:t>
    </w:r>
    <w:proofErr w:type="spellStart"/>
    <w:r w:rsidR="006304CC">
      <w:t>Antal</w:t>
    </w:r>
    <w:proofErr w:type="spellEnd"/>
    <w:r>
      <w:t>, 3DClick Ltd.</w:t>
    </w:r>
    <w:r>
      <w:tab/>
      <w:t xml:space="preserve">    2019-</w:t>
    </w:r>
    <w:r w:rsidR="006304CC">
      <w:t>06</w:t>
    </w:r>
    <w:r>
      <w:t>-</w:t>
    </w:r>
    <w:r w:rsidR="006304CC">
      <w:t>01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F6BE03" w14:textId="77777777" w:rsidR="006304CC" w:rsidRDefault="006304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CD25D0"/>
    <w:multiLevelType w:val="multilevel"/>
    <w:tmpl w:val="8A2C49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CF94CF5"/>
    <w:multiLevelType w:val="multilevel"/>
    <w:tmpl w:val="49EC52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D375D86"/>
    <w:multiLevelType w:val="multilevel"/>
    <w:tmpl w:val="48A4383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0BA0619"/>
    <w:multiLevelType w:val="multilevel"/>
    <w:tmpl w:val="43486F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37405EE9"/>
    <w:multiLevelType w:val="multilevel"/>
    <w:tmpl w:val="C8EEE2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A604585"/>
    <w:multiLevelType w:val="multilevel"/>
    <w:tmpl w:val="A71ECA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CED6876"/>
    <w:multiLevelType w:val="multilevel"/>
    <w:tmpl w:val="6C0A52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4"/>
  </w:num>
  <w:num w:numId="2">
    <w:abstractNumId w:val="3"/>
  </w:num>
  <w:num w:numId="3">
    <w:abstractNumId w:val="5"/>
  </w:num>
  <w:num w:numId="4">
    <w:abstractNumId w:val="2"/>
  </w:num>
  <w:num w:numId="5">
    <w:abstractNumId w:val="0"/>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7C1B"/>
    <w:rsid w:val="00392EBA"/>
    <w:rsid w:val="006304CC"/>
    <w:rsid w:val="00817C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52D63A"/>
  <w15:docId w15:val="{7EA5D34F-9B73-44FC-ACA2-406790FE22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200"/>
      <w:outlineLvl w:val="0"/>
    </w:pPr>
    <w:rPr>
      <w:rFonts w:ascii="Trebuchet MS" w:eastAsia="Trebuchet MS" w:hAnsi="Trebuchet MS" w:cs="Trebuchet MS"/>
      <w:sz w:val="32"/>
      <w:szCs w:val="32"/>
    </w:rPr>
  </w:style>
  <w:style w:type="paragraph" w:styleId="Heading2">
    <w:name w:val="heading 2"/>
    <w:basedOn w:val="Normal"/>
    <w:next w:val="Normal"/>
    <w:uiPriority w:val="9"/>
    <w:unhideWhenUsed/>
    <w:qFormat/>
    <w:pPr>
      <w:keepNext/>
      <w:keepLines/>
      <w:spacing w:before="200"/>
      <w:outlineLvl w:val="1"/>
    </w:pPr>
    <w:rPr>
      <w:rFonts w:ascii="Trebuchet MS" w:eastAsia="Trebuchet MS" w:hAnsi="Trebuchet MS" w:cs="Trebuchet MS"/>
      <w:b/>
      <w:sz w:val="26"/>
      <w:szCs w:val="26"/>
    </w:rPr>
  </w:style>
  <w:style w:type="paragraph" w:styleId="Heading3">
    <w:name w:val="heading 3"/>
    <w:basedOn w:val="Normal"/>
    <w:next w:val="Normal"/>
    <w:uiPriority w:val="9"/>
    <w:unhideWhenUsed/>
    <w:qFormat/>
    <w:pPr>
      <w:keepNext/>
      <w:keepLines/>
      <w:spacing w:before="160"/>
      <w:outlineLvl w:val="2"/>
    </w:pPr>
    <w:rPr>
      <w:rFonts w:ascii="Trebuchet MS" w:eastAsia="Trebuchet MS" w:hAnsi="Trebuchet MS" w:cs="Trebuchet MS"/>
      <w:b/>
      <w:color w:val="666666"/>
      <w:sz w:val="24"/>
      <w:szCs w:val="24"/>
    </w:rPr>
  </w:style>
  <w:style w:type="paragraph" w:styleId="Heading4">
    <w:name w:val="heading 4"/>
    <w:basedOn w:val="Normal"/>
    <w:next w:val="Normal"/>
    <w:uiPriority w:val="9"/>
    <w:semiHidden/>
    <w:unhideWhenUsed/>
    <w:qFormat/>
    <w:pPr>
      <w:keepNext/>
      <w:keepLines/>
      <w:spacing w:before="160"/>
      <w:outlineLvl w:val="3"/>
    </w:pPr>
    <w:rPr>
      <w:rFonts w:ascii="Trebuchet MS" w:eastAsia="Trebuchet MS" w:hAnsi="Trebuchet MS" w:cs="Trebuchet MS"/>
      <w:color w:val="666666"/>
      <w:u w:val="single"/>
    </w:rPr>
  </w:style>
  <w:style w:type="paragraph" w:styleId="Heading5">
    <w:name w:val="heading 5"/>
    <w:basedOn w:val="Normal"/>
    <w:next w:val="Normal"/>
    <w:uiPriority w:val="9"/>
    <w:semiHidden/>
    <w:unhideWhenUsed/>
    <w:qFormat/>
    <w:pPr>
      <w:keepNext/>
      <w:keepLines/>
      <w:spacing w:before="160"/>
      <w:outlineLvl w:val="4"/>
    </w:pPr>
    <w:rPr>
      <w:rFonts w:ascii="Trebuchet MS" w:eastAsia="Trebuchet MS" w:hAnsi="Trebuchet MS" w:cs="Trebuchet MS"/>
      <w:color w:val="666666"/>
    </w:rPr>
  </w:style>
  <w:style w:type="paragraph" w:styleId="Heading6">
    <w:name w:val="heading 6"/>
    <w:basedOn w:val="Normal"/>
    <w:next w:val="Normal"/>
    <w:uiPriority w:val="9"/>
    <w:semiHidden/>
    <w:unhideWhenUsed/>
    <w:qFormat/>
    <w:pPr>
      <w:keepNext/>
      <w:keepLines/>
      <w:spacing w:before="160"/>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Pr>
    <w:rPr>
      <w:rFonts w:ascii="Trebuchet MS" w:eastAsia="Trebuchet MS" w:hAnsi="Trebuchet MS" w:cs="Trebuchet MS"/>
      <w:sz w:val="42"/>
      <w:szCs w:val="42"/>
    </w:rPr>
  </w:style>
  <w:style w:type="paragraph" w:styleId="Subtitle">
    <w:name w:val="Subtitle"/>
    <w:basedOn w:val="Normal"/>
    <w:next w:val="Normal"/>
    <w:uiPriority w:val="11"/>
    <w:qFormat/>
    <w:pPr>
      <w:keepNext/>
      <w:keepLines/>
      <w:spacing w:after="200"/>
    </w:pPr>
    <w:rPr>
      <w:rFonts w:ascii="Trebuchet MS" w:eastAsia="Trebuchet MS" w:hAnsi="Trebuchet MS" w:cs="Trebuchet MS"/>
      <w:i/>
      <w:color w:val="666666"/>
      <w:sz w:val="26"/>
      <w:szCs w:val="26"/>
    </w:rPr>
  </w:style>
  <w:style w:type="paragraph" w:styleId="Header">
    <w:name w:val="header"/>
    <w:basedOn w:val="Normal"/>
    <w:link w:val="HeaderChar"/>
    <w:uiPriority w:val="99"/>
    <w:unhideWhenUsed/>
    <w:rsid w:val="006304CC"/>
    <w:pPr>
      <w:tabs>
        <w:tab w:val="center" w:pos="4513"/>
        <w:tab w:val="right" w:pos="9026"/>
      </w:tabs>
      <w:spacing w:line="240" w:lineRule="auto"/>
    </w:pPr>
  </w:style>
  <w:style w:type="character" w:customStyle="1" w:styleId="HeaderChar">
    <w:name w:val="Header Char"/>
    <w:basedOn w:val="DefaultParagraphFont"/>
    <w:link w:val="Header"/>
    <w:uiPriority w:val="99"/>
    <w:rsid w:val="006304CC"/>
  </w:style>
  <w:style w:type="paragraph" w:styleId="Footer">
    <w:name w:val="footer"/>
    <w:basedOn w:val="Normal"/>
    <w:link w:val="FooterChar"/>
    <w:uiPriority w:val="99"/>
    <w:unhideWhenUsed/>
    <w:rsid w:val="006304CC"/>
    <w:pPr>
      <w:tabs>
        <w:tab w:val="center" w:pos="4513"/>
        <w:tab w:val="right" w:pos="9026"/>
      </w:tabs>
      <w:spacing w:line="240" w:lineRule="auto"/>
    </w:pPr>
  </w:style>
  <w:style w:type="character" w:customStyle="1" w:styleId="FooterChar">
    <w:name w:val="Footer Char"/>
    <w:basedOn w:val="DefaultParagraphFont"/>
    <w:link w:val="Footer"/>
    <w:uiPriority w:val="99"/>
    <w:rsid w:val="006304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26" Type="http://schemas.openxmlformats.org/officeDocument/2006/relationships/image" Target="media/image17.png"/><Relationship Id="rId117" Type="http://schemas.openxmlformats.org/officeDocument/2006/relationships/image" Target="media/image107.jpg"/><Relationship Id="rId21" Type="http://schemas.openxmlformats.org/officeDocument/2006/relationships/image" Target="media/image12.png"/><Relationship Id="rId42" Type="http://schemas.openxmlformats.org/officeDocument/2006/relationships/image" Target="media/image33.png"/><Relationship Id="rId47" Type="http://schemas.openxmlformats.org/officeDocument/2006/relationships/image" Target="media/image38.png"/><Relationship Id="rId63" Type="http://schemas.openxmlformats.org/officeDocument/2006/relationships/image" Target="media/image53.jpg"/><Relationship Id="rId68" Type="http://schemas.openxmlformats.org/officeDocument/2006/relationships/image" Target="media/image58.jpg"/><Relationship Id="rId84" Type="http://schemas.openxmlformats.org/officeDocument/2006/relationships/image" Target="media/image74.jpg"/><Relationship Id="rId89" Type="http://schemas.openxmlformats.org/officeDocument/2006/relationships/image" Target="media/image79.jpg"/><Relationship Id="rId112" Type="http://schemas.openxmlformats.org/officeDocument/2006/relationships/image" Target="media/image102.jpg"/><Relationship Id="rId133" Type="http://schemas.openxmlformats.org/officeDocument/2006/relationships/image" Target="media/image123.jpg"/><Relationship Id="rId138" Type="http://schemas.openxmlformats.org/officeDocument/2006/relationships/image" Target="media/image128.jpg"/><Relationship Id="rId154" Type="http://schemas.openxmlformats.org/officeDocument/2006/relationships/image" Target="media/image144.png"/><Relationship Id="rId159" Type="http://schemas.openxmlformats.org/officeDocument/2006/relationships/header" Target="header2.xml"/><Relationship Id="rId16" Type="http://schemas.openxmlformats.org/officeDocument/2006/relationships/image" Target="media/image9.png"/><Relationship Id="rId107" Type="http://schemas.openxmlformats.org/officeDocument/2006/relationships/image" Target="media/image97.jpg"/><Relationship Id="rId11" Type="http://schemas.openxmlformats.org/officeDocument/2006/relationships/image" Target="media/image4.png"/><Relationship Id="rId32" Type="http://schemas.openxmlformats.org/officeDocument/2006/relationships/image" Target="media/image23.png"/><Relationship Id="rId37" Type="http://schemas.openxmlformats.org/officeDocument/2006/relationships/image" Target="media/image28.png"/><Relationship Id="rId53" Type="http://schemas.openxmlformats.org/officeDocument/2006/relationships/image" Target="media/image43.png"/><Relationship Id="rId58" Type="http://schemas.openxmlformats.org/officeDocument/2006/relationships/image" Target="media/image48.jpg"/><Relationship Id="rId74" Type="http://schemas.openxmlformats.org/officeDocument/2006/relationships/image" Target="media/image64.jpg"/><Relationship Id="rId79" Type="http://schemas.openxmlformats.org/officeDocument/2006/relationships/image" Target="media/image69.jpg"/><Relationship Id="rId102" Type="http://schemas.openxmlformats.org/officeDocument/2006/relationships/image" Target="media/image92.png"/><Relationship Id="rId123" Type="http://schemas.openxmlformats.org/officeDocument/2006/relationships/image" Target="media/image113.jpg"/><Relationship Id="rId128" Type="http://schemas.openxmlformats.org/officeDocument/2006/relationships/image" Target="media/image118.jpg"/><Relationship Id="rId144" Type="http://schemas.openxmlformats.org/officeDocument/2006/relationships/image" Target="media/image134.jpg"/><Relationship Id="rId149" Type="http://schemas.openxmlformats.org/officeDocument/2006/relationships/image" Target="media/image139.jpg"/><Relationship Id="rId5" Type="http://schemas.openxmlformats.org/officeDocument/2006/relationships/footnotes" Target="footnotes.xml"/><Relationship Id="rId90" Type="http://schemas.openxmlformats.org/officeDocument/2006/relationships/image" Target="media/image80.jpg"/><Relationship Id="rId95" Type="http://schemas.openxmlformats.org/officeDocument/2006/relationships/image" Target="media/image85.jpg"/><Relationship Id="rId160" Type="http://schemas.openxmlformats.org/officeDocument/2006/relationships/footer" Target="footer1.xml"/><Relationship Id="rId165" Type="http://schemas.openxmlformats.org/officeDocument/2006/relationships/theme" Target="theme/theme1.xml"/><Relationship Id="rId22" Type="http://schemas.openxmlformats.org/officeDocument/2006/relationships/image" Target="media/image13.png"/><Relationship Id="rId27" Type="http://schemas.openxmlformats.org/officeDocument/2006/relationships/image" Target="media/image18.png"/><Relationship Id="rId43" Type="http://schemas.openxmlformats.org/officeDocument/2006/relationships/image" Target="media/image34.png"/><Relationship Id="rId48" Type="http://schemas.openxmlformats.org/officeDocument/2006/relationships/hyperlink" Target="https://en.wikipedia.org/wiki/Kernel_density_estimation" TargetMode="External"/><Relationship Id="rId64" Type="http://schemas.openxmlformats.org/officeDocument/2006/relationships/image" Target="media/image54.jpg"/><Relationship Id="rId69" Type="http://schemas.openxmlformats.org/officeDocument/2006/relationships/image" Target="media/image59.jpg"/><Relationship Id="rId113" Type="http://schemas.openxmlformats.org/officeDocument/2006/relationships/image" Target="media/image103.png"/><Relationship Id="rId118" Type="http://schemas.openxmlformats.org/officeDocument/2006/relationships/image" Target="media/image108.jpg"/><Relationship Id="rId134" Type="http://schemas.openxmlformats.org/officeDocument/2006/relationships/image" Target="media/image124.jpg"/><Relationship Id="rId139" Type="http://schemas.openxmlformats.org/officeDocument/2006/relationships/image" Target="media/image129.jpg"/><Relationship Id="rId80" Type="http://schemas.openxmlformats.org/officeDocument/2006/relationships/image" Target="media/image70.png"/><Relationship Id="rId85" Type="http://schemas.openxmlformats.org/officeDocument/2006/relationships/image" Target="media/image75.jpg"/><Relationship Id="rId150" Type="http://schemas.openxmlformats.org/officeDocument/2006/relationships/image" Target="media/image140.jpg"/><Relationship Id="rId155" Type="http://schemas.openxmlformats.org/officeDocument/2006/relationships/image" Target="media/image145.png"/><Relationship Id="rId12" Type="http://schemas.openxmlformats.org/officeDocument/2006/relationships/image" Target="media/image5.png"/><Relationship Id="rId17" Type="http://schemas.openxmlformats.org/officeDocument/2006/relationships/hyperlink" Target="https://docs.google.com/document/d/1vEedC2qeI3zhBr5sfi2c1i-GhzwgxJoUH5rW_zuAIKw/edit?usp=sharing" TargetMode="External"/><Relationship Id="rId33" Type="http://schemas.openxmlformats.org/officeDocument/2006/relationships/image" Target="media/image24.png"/><Relationship Id="rId38" Type="http://schemas.openxmlformats.org/officeDocument/2006/relationships/image" Target="media/image29.png"/><Relationship Id="rId59" Type="http://schemas.openxmlformats.org/officeDocument/2006/relationships/image" Target="media/image49.png"/><Relationship Id="rId103" Type="http://schemas.openxmlformats.org/officeDocument/2006/relationships/image" Target="media/image93.png"/><Relationship Id="rId108" Type="http://schemas.openxmlformats.org/officeDocument/2006/relationships/image" Target="media/image98.png"/><Relationship Id="rId124" Type="http://schemas.openxmlformats.org/officeDocument/2006/relationships/image" Target="media/image114.png"/><Relationship Id="rId129" Type="http://schemas.openxmlformats.org/officeDocument/2006/relationships/image" Target="media/image119.jpg"/><Relationship Id="rId54" Type="http://schemas.openxmlformats.org/officeDocument/2006/relationships/image" Target="media/image44.png"/><Relationship Id="rId70" Type="http://schemas.openxmlformats.org/officeDocument/2006/relationships/image" Target="media/image60.png"/><Relationship Id="rId75" Type="http://schemas.openxmlformats.org/officeDocument/2006/relationships/image" Target="media/image65.png"/><Relationship Id="rId91" Type="http://schemas.openxmlformats.org/officeDocument/2006/relationships/image" Target="media/image81.png"/><Relationship Id="rId96" Type="http://schemas.openxmlformats.org/officeDocument/2006/relationships/image" Target="media/image86.jpg"/><Relationship Id="rId140" Type="http://schemas.openxmlformats.org/officeDocument/2006/relationships/image" Target="media/image130.jpg"/><Relationship Id="rId145" Type="http://schemas.openxmlformats.org/officeDocument/2006/relationships/image" Target="media/image135.jpg"/><Relationship Id="rId161"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8.pn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image" Target="media/image27.png"/><Relationship Id="rId49" Type="http://schemas.openxmlformats.org/officeDocument/2006/relationships/image" Target="media/image39.jpg"/><Relationship Id="rId57" Type="http://schemas.openxmlformats.org/officeDocument/2006/relationships/image" Target="media/image47.jpg"/><Relationship Id="rId106" Type="http://schemas.openxmlformats.org/officeDocument/2006/relationships/image" Target="media/image96.jpg"/><Relationship Id="rId114" Type="http://schemas.openxmlformats.org/officeDocument/2006/relationships/image" Target="media/image104.png"/><Relationship Id="rId119" Type="http://schemas.openxmlformats.org/officeDocument/2006/relationships/image" Target="media/image109.png"/><Relationship Id="rId127" Type="http://schemas.openxmlformats.org/officeDocument/2006/relationships/image" Target="media/image117.jpg"/><Relationship Id="rId10" Type="http://schemas.openxmlformats.org/officeDocument/2006/relationships/image" Target="media/image3.png"/><Relationship Id="rId31" Type="http://schemas.openxmlformats.org/officeDocument/2006/relationships/image" Target="media/image22.png"/><Relationship Id="rId44" Type="http://schemas.openxmlformats.org/officeDocument/2006/relationships/image" Target="media/image35.png"/><Relationship Id="rId52" Type="http://schemas.openxmlformats.org/officeDocument/2006/relationships/image" Target="media/image42.jpg"/><Relationship Id="rId60" Type="http://schemas.openxmlformats.org/officeDocument/2006/relationships/image" Target="media/image50.png"/><Relationship Id="rId65" Type="http://schemas.openxmlformats.org/officeDocument/2006/relationships/image" Target="media/image55.png"/><Relationship Id="rId73" Type="http://schemas.openxmlformats.org/officeDocument/2006/relationships/image" Target="media/image63.jpg"/><Relationship Id="rId78" Type="http://schemas.openxmlformats.org/officeDocument/2006/relationships/image" Target="media/image68.jpg"/><Relationship Id="rId81" Type="http://schemas.openxmlformats.org/officeDocument/2006/relationships/image" Target="media/image71.png"/><Relationship Id="rId86" Type="http://schemas.openxmlformats.org/officeDocument/2006/relationships/image" Target="media/image76.png"/><Relationship Id="rId94" Type="http://schemas.openxmlformats.org/officeDocument/2006/relationships/image" Target="media/image84.jpg"/><Relationship Id="rId99" Type="http://schemas.openxmlformats.org/officeDocument/2006/relationships/image" Target="media/image89.jpg"/><Relationship Id="rId101" Type="http://schemas.openxmlformats.org/officeDocument/2006/relationships/image" Target="media/image91.jpg"/><Relationship Id="rId122" Type="http://schemas.openxmlformats.org/officeDocument/2006/relationships/image" Target="media/image112.jpg"/><Relationship Id="rId130" Type="http://schemas.openxmlformats.org/officeDocument/2006/relationships/image" Target="media/image120.png"/><Relationship Id="rId135" Type="http://schemas.openxmlformats.org/officeDocument/2006/relationships/image" Target="media/image125.png"/><Relationship Id="rId143" Type="http://schemas.openxmlformats.org/officeDocument/2006/relationships/image" Target="media/image133.jpg"/><Relationship Id="rId148" Type="http://schemas.openxmlformats.org/officeDocument/2006/relationships/image" Target="media/image138.jpg"/><Relationship Id="rId151" Type="http://schemas.openxmlformats.org/officeDocument/2006/relationships/image" Target="media/image141.jpg"/><Relationship Id="rId156" Type="http://schemas.openxmlformats.org/officeDocument/2006/relationships/image" Target="media/image146.png"/><Relationship Id="rId16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hyperlink" Target="https://www.investopedia.com/terms/r/rollforward.asp" TargetMode="External"/><Relationship Id="rId39" Type="http://schemas.openxmlformats.org/officeDocument/2006/relationships/image" Target="media/image30.png"/><Relationship Id="rId109" Type="http://schemas.openxmlformats.org/officeDocument/2006/relationships/image" Target="media/image99.jpg"/><Relationship Id="rId34" Type="http://schemas.openxmlformats.org/officeDocument/2006/relationships/image" Target="media/image25.png"/><Relationship Id="rId50" Type="http://schemas.openxmlformats.org/officeDocument/2006/relationships/image" Target="media/image40.jpg"/><Relationship Id="rId55" Type="http://schemas.openxmlformats.org/officeDocument/2006/relationships/image" Target="media/image45.jpg"/><Relationship Id="rId76" Type="http://schemas.openxmlformats.org/officeDocument/2006/relationships/image" Target="media/image66.jpg"/><Relationship Id="rId97" Type="http://schemas.openxmlformats.org/officeDocument/2006/relationships/image" Target="media/image87.png"/><Relationship Id="rId104" Type="http://schemas.openxmlformats.org/officeDocument/2006/relationships/image" Target="media/image94.jpg"/><Relationship Id="rId120" Type="http://schemas.openxmlformats.org/officeDocument/2006/relationships/image" Target="media/image110.jpg"/><Relationship Id="rId125" Type="http://schemas.openxmlformats.org/officeDocument/2006/relationships/image" Target="media/image115.png"/><Relationship Id="rId141" Type="http://schemas.openxmlformats.org/officeDocument/2006/relationships/image" Target="media/image131.png"/><Relationship Id="rId146" Type="http://schemas.openxmlformats.org/officeDocument/2006/relationships/image" Target="media/image136.png"/><Relationship Id="rId7" Type="http://schemas.openxmlformats.org/officeDocument/2006/relationships/hyperlink" Target="https://docs.google.com/document/d/1vEedC2qeI3zhBr5sfi2c1i-GhzwgxJoUH5rW_zuAIKw/edit?usp=sharing" TargetMode="External"/><Relationship Id="rId71" Type="http://schemas.openxmlformats.org/officeDocument/2006/relationships/image" Target="media/image61.jpg"/><Relationship Id="rId92" Type="http://schemas.openxmlformats.org/officeDocument/2006/relationships/image" Target="media/image82.png"/><Relationship Id="rId162" Type="http://schemas.openxmlformats.org/officeDocument/2006/relationships/header" Target="header3.xml"/><Relationship Id="rId2" Type="http://schemas.openxmlformats.org/officeDocument/2006/relationships/styles" Target="styles.xml"/><Relationship Id="rId29" Type="http://schemas.openxmlformats.org/officeDocument/2006/relationships/image" Target="media/image20.png"/><Relationship Id="rId24" Type="http://schemas.openxmlformats.org/officeDocument/2006/relationships/image" Target="media/image15.png"/><Relationship Id="rId40" Type="http://schemas.openxmlformats.org/officeDocument/2006/relationships/image" Target="media/image31.png"/><Relationship Id="rId45" Type="http://schemas.openxmlformats.org/officeDocument/2006/relationships/image" Target="media/image36.png"/><Relationship Id="rId66" Type="http://schemas.openxmlformats.org/officeDocument/2006/relationships/image" Target="media/image56.jpg"/><Relationship Id="rId87" Type="http://schemas.openxmlformats.org/officeDocument/2006/relationships/image" Target="media/image77.jpg"/><Relationship Id="rId110" Type="http://schemas.openxmlformats.org/officeDocument/2006/relationships/image" Target="media/image100.jpg"/><Relationship Id="rId115" Type="http://schemas.openxmlformats.org/officeDocument/2006/relationships/image" Target="media/image105.jpg"/><Relationship Id="rId131" Type="http://schemas.openxmlformats.org/officeDocument/2006/relationships/image" Target="media/image121.jpg"/><Relationship Id="rId136" Type="http://schemas.openxmlformats.org/officeDocument/2006/relationships/image" Target="media/image126.png"/><Relationship Id="rId157" Type="http://schemas.openxmlformats.org/officeDocument/2006/relationships/image" Target="media/image147.png"/><Relationship Id="rId61" Type="http://schemas.openxmlformats.org/officeDocument/2006/relationships/image" Target="media/image51.jpg"/><Relationship Id="rId82" Type="http://schemas.openxmlformats.org/officeDocument/2006/relationships/image" Target="media/image72.jpg"/><Relationship Id="rId152" Type="http://schemas.openxmlformats.org/officeDocument/2006/relationships/image" Target="media/image142.png"/><Relationship Id="rId19" Type="http://schemas.openxmlformats.org/officeDocument/2006/relationships/image" Target="media/image10.png"/><Relationship Id="rId14" Type="http://schemas.openxmlformats.org/officeDocument/2006/relationships/image" Target="media/image7.png"/><Relationship Id="rId30" Type="http://schemas.openxmlformats.org/officeDocument/2006/relationships/image" Target="media/image21.png"/><Relationship Id="rId35" Type="http://schemas.openxmlformats.org/officeDocument/2006/relationships/image" Target="media/image26.png"/><Relationship Id="rId56" Type="http://schemas.openxmlformats.org/officeDocument/2006/relationships/image" Target="media/image46.jpg"/><Relationship Id="rId77" Type="http://schemas.openxmlformats.org/officeDocument/2006/relationships/image" Target="media/image67.jpg"/><Relationship Id="rId100" Type="http://schemas.openxmlformats.org/officeDocument/2006/relationships/image" Target="media/image90.jpg"/><Relationship Id="rId105" Type="http://schemas.openxmlformats.org/officeDocument/2006/relationships/image" Target="media/image95.jpg"/><Relationship Id="rId126" Type="http://schemas.openxmlformats.org/officeDocument/2006/relationships/image" Target="media/image116.jpg"/><Relationship Id="rId147" Type="http://schemas.openxmlformats.org/officeDocument/2006/relationships/image" Target="media/image137.png"/><Relationship Id="rId8" Type="http://schemas.openxmlformats.org/officeDocument/2006/relationships/image" Target="media/image1.png"/><Relationship Id="rId51" Type="http://schemas.openxmlformats.org/officeDocument/2006/relationships/image" Target="media/image41.jpg"/><Relationship Id="rId72" Type="http://schemas.openxmlformats.org/officeDocument/2006/relationships/image" Target="media/image62.jpg"/><Relationship Id="rId93" Type="http://schemas.openxmlformats.org/officeDocument/2006/relationships/image" Target="media/image83.jpg"/><Relationship Id="rId98" Type="http://schemas.openxmlformats.org/officeDocument/2006/relationships/image" Target="media/image88.jpg"/><Relationship Id="rId121" Type="http://schemas.openxmlformats.org/officeDocument/2006/relationships/image" Target="media/image111.jpg"/><Relationship Id="rId142" Type="http://schemas.openxmlformats.org/officeDocument/2006/relationships/image" Target="media/image132.jpg"/><Relationship Id="rId163" Type="http://schemas.openxmlformats.org/officeDocument/2006/relationships/footer" Target="footer3.xml"/><Relationship Id="rId3" Type="http://schemas.openxmlformats.org/officeDocument/2006/relationships/settings" Target="settings.xml"/><Relationship Id="rId25" Type="http://schemas.openxmlformats.org/officeDocument/2006/relationships/image" Target="media/image16.png"/><Relationship Id="rId46" Type="http://schemas.openxmlformats.org/officeDocument/2006/relationships/image" Target="media/image37.png"/><Relationship Id="rId67" Type="http://schemas.openxmlformats.org/officeDocument/2006/relationships/image" Target="media/image57.jpg"/><Relationship Id="rId116" Type="http://schemas.openxmlformats.org/officeDocument/2006/relationships/image" Target="media/image106.jpg"/><Relationship Id="rId137" Type="http://schemas.openxmlformats.org/officeDocument/2006/relationships/image" Target="media/image127.jpg"/><Relationship Id="rId158" Type="http://schemas.openxmlformats.org/officeDocument/2006/relationships/header" Target="header1.xml"/><Relationship Id="rId20" Type="http://schemas.openxmlformats.org/officeDocument/2006/relationships/image" Target="media/image11.png"/><Relationship Id="rId41" Type="http://schemas.openxmlformats.org/officeDocument/2006/relationships/image" Target="media/image32.png"/><Relationship Id="rId62" Type="http://schemas.openxmlformats.org/officeDocument/2006/relationships/image" Target="media/image52.jpg"/><Relationship Id="rId83" Type="http://schemas.openxmlformats.org/officeDocument/2006/relationships/image" Target="media/image73.jpg"/><Relationship Id="rId88" Type="http://schemas.openxmlformats.org/officeDocument/2006/relationships/image" Target="media/image78.jpg"/><Relationship Id="rId111" Type="http://schemas.openxmlformats.org/officeDocument/2006/relationships/image" Target="media/image101.jpg"/><Relationship Id="rId132" Type="http://schemas.openxmlformats.org/officeDocument/2006/relationships/image" Target="media/image122.jpg"/><Relationship Id="rId153" Type="http://schemas.openxmlformats.org/officeDocument/2006/relationships/image" Target="media/image143.png"/></Relationships>
</file>

<file path=word/_rels/footnotes.xml.rels><?xml version="1.0" encoding="UTF-8" standalone="yes"?>
<Relationships xmlns="http://schemas.openxmlformats.org/package/2006/relationships"><Relationship Id="rId2" Type="http://schemas.openxmlformats.org/officeDocument/2006/relationships/hyperlink" Target="https://movement.capital/the-true-cost-of-hedging-sp-downside/" TargetMode="External"/><Relationship Id="rId1" Type="http://schemas.openxmlformats.org/officeDocument/2006/relationships/hyperlink" Target="https://www.optiontradingtips.com/strategies/protective-pu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99</Pages>
  <Words>8728</Words>
  <Characters>49753</Characters>
  <Application>Microsoft Office Word</Application>
  <DocSecurity>0</DocSecurity>
  <Lines>414</Lines>
  <Paragraphs>116</Paragraphs>
  <ScaleCrop>false</ScaleCrop>
  <Company/>
  <LinksUpToDate>false</LinksUpToDate>
  <CharactersWithSpaces>58365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gyantal</cp:lastModifiedBy>
  <cp:revision>2</cp:revision>
  <dcterms:created xsi:type="dcterms:W3CDTF">2020-09-09T10:54:00Z</dcterms:created>
  <dcterms:modified xsi:type="dcterms:W3CDTF">2020-09-09T10:56:00Z</dcterms:modified>
</cp:coreProperties>
</file>