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3E9806A" w14:textId="77777777" w:rsidR="0048192A" w:rsidRDefault="0048192A">
      <w:pPr>
        <w:pStyle w:val="Title"/>
        <w:pBdr>
          <w:top w:val="nil"/>
          <w:left w:val="nil"/>
          <w:bottom w:val="nil"/>
          <w:right w:val="nil"/>
          <w:between w:val="nil"/>
        </w:pBdr>
        <w:jc w:val="center"/>
        <w:rPr>
          <w:b/>
          <w:color w:val="0000FF"/>
        </w:rPr>
      </w:pPr>
      <w:bookmarkStart w:id="0" w:name="_b1y0q5med62k" w:colFirst="0" w:colLast="0"/>
      <w:bookmarkEnd w:id="0"/>
    </w:p>
    <w:p w14:paraId="30054C8B" w14:textId="77777777" w:rsidR="0048192A" w:rsidRDefault="0048192A" w:rsidP="0048192A">
      <w:pPr>
        <w:jc w:val="center"/>
      </w:pPr>
      <w:proofErr w:type="spellStart"/>
      <w:r>
        <w:t>Dr.</w:t>
      </w:r>
      <w:proofErr w:type="spellEnd"/>
      <w:r>
        <w:t xml:space="preserve"> George </w:t>
      </w:r>
      <w:proofErr w:type="spellStart"/>
      <w:r>
        <w:t>Antal</w:t>
      </w:r>
      <w:proofErr w:type="spellEnd"/>
    </w:p>
    <w:p w14:paraId="56562FA9" w14:textId="77777777" w:rsidR="0048192A" w:rsidRDefault="0048192A" w:rsidP="0048192A">
      <w:pPr>
        <w:jc w:val="center"/>
      </w:pPr>
      <w:r>
        <w:t>3D Click Limited</w:t>
      </w:r>
    </w:p>
    <w:p w14:paraId="4B87B3B0" w14:textId="22C4198C" w:rsidR="0048192A" w:rsidRDefault="0048192A" w:rsidP="0048192A">
      <w:pPr>
        <w:jc w:val="center"/>
      </w:pPr>
      <w:r>
        <w:t>c/o Suite 431, 28 Old Brompton Road, London SW7 3SS</w:t>
      </w:r>
    </w:p>
    <w:p w14:paraId="5814E3EE" w14:textId="77777777" w:rsidR="0048192A" w:rsidRPr="0048192A" w:rsidRDefault="0048192A" w:rsidP="0048192A"/>
    <w:p w14:paraId="7BB0EFEC" w14:textId="4FF029FD" w:rsidR="0020214C" w:rsidRDefault="003F4C7F">
      <w:pPr>
        <w:pStyle w:val="Title"/>
        <w:pBdr>
          <w:top w:val="nil"/>
          <w:left w:val="nil"/>
          <w:bottom w:val="nil"/>
          <w:right w:val="nil"/>
          <w:between w:val="nil"/>
        </w:pBdr>
        <w:jc w:val="center"/>
        <w:rPr>
          <w:b/>
          <w:color w:val="0000FF"/>
        </w:rPr>
      </w:pPr>
      <w:r>
        <w:rPr>
          <w:b/>
          <w:color w:val="0000FF"/>
        </w:rPr>
        <w:t xml:space="preserve">Revisiting </w:t>
      </w:r>
      <w:proofErr w:type="gramStart"/>
      <w:r>
        <w:rPr>
          <w:b/>
          <w:color w:val="0000FF"/>
        </w:rPr>
        <w:t>The</w:t>
      </w:r>
      <w:proofErr w:type="gramEnd"/>
      <w:r>
        <w:rPr>
          <w:b/>
          <w:color w:val="0000FF"/>
        </w:rPr>
        <w:t xml:space="preserve"> Renewed Uber Strategy </w:t>
      </w:r>
    </w:p>
    <w:p w14:paraId="4DF13941" w14:textId="77777777" w:rsidR="0020214C" w:rsidRDefault="0020214C"/>
    <w:sdt>
      <w:sdtPr>
        <w:id w:val="1336500092"/>
        <w:docPartObj>
          <w:docPartGallery w:val="Table of Contents"/>
          <w:docPartUnique/>
        </w:docPartObj>
      </w:sdtPr>
      <w:sdtEndPr/>
      <w:sdtContent>
        <w:p w14:paraId="3A2E4AA8" w14:textId="77777777" w:rsidR="0020214C" w:rsidRDefault="003F4C7F">
          <w:pPr>
            <w:tabs>
              <w:tab w:val="right" w:pos="11106"/>
            </w:tabs>
            <w:spacing w:before="80" w:line="240" w:lineRule="auto"/>
            <w:rPr>
              <w:b/>
              <w:color w:val="0000FF"/>
            </w:rPr>
          </w:pPr>
          <w:r>
            <w:fldChar w:fldCharType="begin"/>
          </w:r>
          <w:r>
            <w:instrText xml:space="preserve"> TOC \h \u \z </w:instrText>
          </w:r>
          <w:r>
            <w:fldChar w:fldCharType="separate"/>
          </w:r>
          <w:hyperlink w:anchor="_1nf4nvhr1fn1">
            <w:r>
              <w:rPr>
                <w:b/>
                <w:color w:val="0000FF"/>
              </w:rPr>
              <w:t>Motivation</w:t>
            </w:r>
          </w:hyperlink>
          <w:r>
            <w:rPr>
              <w:b/>
              <w:color w:val="0000FF"/>
            </w:rPr>
            <w:tab/>
          </w:r>
          <w:r>
            <w:fldChar w:fldCharType="begin"/>
          </w:r>
          <w:r>
            <w:instrText xml:space="preserve"> PAGEREF _1nf4nvhr1fn1 \h </w:instrText>
          </w:r>
          <w:r>
            <w:fldChar w:fldCharType="separate"/>
          </w:r>
          <w:r>
            <w:rPr>
              <w:b/>
              <w:color w:val="0000FF"/>
            </w:rPr>
            <w:t>1</w:t>
          </w:r>
          <w:r>
            <w:fldChar w:fldCharType="end"/>
          </w:r>
        </w:p>
        <w:p w14:paraId="1CF2D2EB" w14:textId="77777777" w:rsidR="0020214C" w:rsidRDefault="003F4C7F">
          <w:pPr>
            <w:tabs>
              <w:tab w:val="right" w:pos="11106"/>
            </w:tabs>
            <w:spacing w:before="200" w:line="240" w:lineRule="auto"/>
            <w:rPr>
              <w:b/>
              <w:color w:val="0000FF"/>
            </w:rPr>
          </w:pPr>
          <w:hyperlink w:anchor="_1bic9w1h4fub">
            <w:r>
              <w:rPr>
                <w:b/>
                <w:color w:val="0000FF"/>
              </w:rPr>
              <w:t>Background</w:t>
            </w:r>
          </w:hyperlink>
          <w:r>
            <w:rPr>
              <w:b/>
              <w:color w:val="0000FF"/>
            </w:rPr>
            <w:tab/>
          </w:r>
          <w:r>
            <w:fldChar w:fldCharType="begin"/>
          </w:r>
          <w:r>
            <w:instrText xml:space="preserve"> PAGEREF _1bic9w1h4fub \h </w:instrText>
          </w:r>
          <w:r>
            <w:fldChar w:fldCharType="separate"/>
          </w:r>
          <w:r>
            <w:rPr>
              <w:b/>
              <w:color w:val="0000FF"/>
            </w:rPr>
            <w:t>2</w:t>
          </w:r>
          <w:r>
            <w:fldChar w:fldCharType="end"/>
          </w:r>
        </w:p>
        <w:p w14:paraId="2A924A94" w14:textId="77777777" w:rsidR="0020214C" w:rsidRDefault="003F4C7F">
          <w:pPr>
            <w:tabs>
              <w:tab w:val="right" w:pos="11106"/>
            </w:tabs>
            <w:spacing w:before="60" w:line="240" w:lineRule="auto"/>
            <w:ind w:left="360"/>
            <w:rPr>
              <w:color w:val="0000FF"/>
            </w:rPr>
          </w:pPr>
          <w:hyperlink w:anchor="_gxn9de1uj48u">
            <w:r>
              <w:rPr>
                <w:color w:val="0000FF"/>
              </w:rPr>
              <w:t>The Renewed U</w:t>
            </w:r>
            <w:r>
              <w:rPr>
                <w:color w:val="0000FF"/>
              </w:rPr>
              <w:t>ber Strategy</w:t>
            </w:r>
          </w:hyperlink>
          <w:r>
            <w:rPr>
              <w:color w:val="0000FF"/>
            </w:rPr>
            <w:tab/>
          </w:r>
          <w:r>
            <w:fldChar w:fldCharType="begin"/>
          </w:r>
          <w:r>
            <w:instrText xml:space="preserve"> PAGEREF _gxn9de1uj48u \h </w:instrText>
          </w:r>
          <w:r>
            <w:fldChar w:fldCharType="separate"/>
          </w:r>
          <w:r>
            <w:rPr>
              <w:color w:val="0000FF"/>
            </w:rPr>
            <w:t>2</w:t>
          </w:r>
          <w:r>
            <w:fldChar w:fldCharType="end"/>
          </w:r>
        </w:p>
        <w:p w14:paraId="4943D500" w14:textId="77777777" w:rsidR="0020214C" w:rsidRDefault="003F4C7F">
          <w:pPr>
            <w:tabs>
              <w:tab w:val="right" w:pos="11106"/>
            </w:tabs>
            <w:spacing w:before="60" w:line="240" w:lineRule="auto"/>
            <w:ind w:left="360"/>
            <w:rPr>
              <w:color w:val="0000FF"/>
            </w:rPr>
          </w:pPr>
          <w:hyperlink w:anchor="_2cbofecw3bg2">
            <w:r>
              <w:rPr>
                <w:color w:val="0000FF"/>
              </w:rPr>
              <w:t>Real Life Performance of The Renewed Uber Strategy (2018-05-14 – 2019-05-24)</w:t>
            </w:r>
          </w:hyperlink>
          <w:r>
            <w:rPr>
              <w:color w:val="0000FF"/>
            </w:rPr>
            <w:tab/>
          </w:r>
          <w:r>
            <w:fldChar w:fldCharType="begin"/>
          </w:r>
          <w:r>
            <w:instrText xml:space="preserve"> PAGEREF _2cbofecw3bg2 \h </w:instrText>
          </w:r>
          <w:r>
            <w:fldChar w:fldCharType="separate"/>
          </w:r>
          <w:r>
            <w:rPr>
              <w:color w:val="0000FF"/>
            </w:rPr>
            <w:t>4</w:t>
          </w:r>
          <w:r>
            <w:fldChar w:fldCharType="end"/>
          </w:r>
        </w:p>
        <w:p w14:paraId="4A4F348B" w14:textId="77777777" w:rsidR="0020214C" w:rsidRDefault="003F4C7F">
          <w:pPr>
            <w:tabs>
              <w:tab w:val="right" w:pos="11106"/>
            </w:tabs>
            <w:spacing w:before="200" w:line="240" w:lineRule="auto"/>
            <w:rPr>
              <w:b/>
              <w:color w:val="0000FF"/>
            </w:rPr>
          </w:pPr>
          <w:hyperlink w:anchor="_dni33xrtkkxe">
            <w:r>
              <w:rPr>
                <w:b/>
                <w:color w:val="0000FF"/>
              </w:rPr>
              <w:t>Results</w:t>
            </w:r>
          </w:hyperlink>
          <w:r>
            <w:rPr>
              <w:b/>
              <w:color w:val="0000FF"/>
            </w:rPr>
            <w:tab/>
          </w:r>
          <w:r>
            <w:fldChar w:fldCharType="begin"/>
          </w:r>
          <w:r>
            <w:instrText xml:space="preserve"> PAGEREF _dni33xrtkkxe \h </w:instrText>
          </w:r>
          <w:r>
            <w:fldChar w:fldCharType="separate"/>
          </w:r>
          <w:r>
            <w:rPr>
              <w:b/>
              <w:color w:val="0000FF"/>
            </w:rPr>
            <w:t>8</w:t>
          </w:r>
          <w:r>
            <w:fldChar w:fldCharType="end"/>
          </w:r>
        </w:p>
        <w:p w14:paraId="5B9FA6A4" w14:textId="77777777" w:rsidR="0020214C" w:rsidRDefault="003F4C7F">
          <w:pPr>
            <w:tabs>
              <w:tab w:val="right" w:pos="11106"/>
            </w:tabs>
            <w:spacing w:before="60" w:line="240" w:lineRule="auto"/>
            <w:ind w:left="360"/>
            <w:rPr>
              <w:color w:val="0000FF"/>
            </w:rPr>
          </w:pPr>
          <w:hyperlink w:anchor="_yuk6yhomqn00">
            <w:r>
              <w:rPr>
                <w:color w:val="0000FF"/>
              </w:rPr>
              <w:t>The Bullish UberMix Basket</w:t>
            </w:r>
          </w:hyperlink>
          <w:r>
            <w:rPr>
              <w:color w:val="0000FF"/>
            </w:rPr>
            <w:tab/>
          </w:r>
          <w:r>
            <w:fldChar w:fldCharType="begin"/>
          </w:r>
          <w:r>
            <w:instrText xml:space="preserve"> PAGEREF _yuk6yhomqn00 \h </w:instrText>
          </w:r>
          <w:r>
            <w:fldChar w:fldCharType="separate"/>
          </w:r>
          <w:r>
            <w:rPr>
              <w:color w:val="0000FF"/>
            </w:rPr>
            <w:t>8</w:t>
          </w:r>
          <w:r>
            <w:fldChar w:fldCharType="end"/>
          </w:r>
        </w:p>
        <w:p w14:paraId="16C8BBDF" w14:textId="77777777" w:rsidR="0020214C" w:rsidRDefault="003F4C7F">
          <w:pPr>
            <w:tabs>
              <w:tab w:val="right" w:pos="11106"/>
            </w:tabs>
            <w:spacing w:before="60" w:line="240" w:lineRule="auto"/>
            <w:ind w:left="360"/>
            <w:rPr>
              <w:color w:val="0000FF"/>
            </w:rPr>
          </w:pPr>
          <w:hyperlink w:anchor="_ysktmq5v4d2z">
            <w:r>
              <w:rPr>
                <w:color w:val="0000FF"/>
              </w:rPr>
              <w:t>Trading Signals and Performance of The Revisited Renewed Uber S</w:t>
            </w:r>
            <w:r>
              <w:rPr>
                <w:color w:val="0000FF"/>
              </w:rPr>
              <w:t>trategy</w:t>
            </w:r>
          </w:hyperlink>
          <w:r>
            <w:rPr>
              <w:color w:val="0000FF"/>
            </w:rPr>
            <w:tab/>
          </w:r>
          <w:r>
            <w:fldChar w:fldCharType="begin"/>
          </w:r>
          <w:r>
            <w:instrText xml:space="preserve"> PAGEREF _ysktmq5v4d2z \h </w:instrText>
          </w:r>
          <w:r>
            <w:fldChar w:fldCharType="separate"/>
          </w:r>
          <w:r>
            <w:rPr>
              <w:color w:val="0000FF"/>
            </w:rPr>
            <w:t>17</w:t>
          </w:r>
          <w:r>
            <w:fldChar w:fldCharType="end"/>
          </w:r>
        </w:p>
        <w:p w14:paraId="2DDC08C5" w14:textId="77777777" w:rsidR="0020214C" w:rsidRDefault="003F4C7F">
          <w:pPr>
            <w:tabs>
              <w:tab w:val="right" w:pos="11106"/>
            </w:tabs>
            <w:spacing w:before="60" w:line="240" w:lineRule="auto"/>
            <w:ind w:left="360"/>
            <w:rPr>
              <w:color w:val="0000FF"/>
            </w:rPr>
          </w:pPr>
          <w:hyperlink w:anchor="_7fymobibk497">
            <w:r>
              <w:rPr>
                <w:color w:val="0000FF"/>
              </w:rPr>
              <w:t>Possible Modifications of The Revisited Renewed Uber Strategy</w:t>
            </w:r>
          </w:hyperlink>
          <w:r>
            <w:rPr>
              <w:color w:val="0000FF"/>
            </w:rPr>
            <w:tab/>
          </w:r>
          <w:r>
            <w:fldChar w:fldCharType="begin"/>
          </w:r>
          <w:r>
            <w:instrText xml:space="preserve"> PAGEREF _7fymobibk497 \h </w:instrText>
          </w:r>
          <w:r>
            <w:fldChar w:fldCharType="separate"/>
          </w:r>
          <w:r>
            <w:rPr>
              <w:color w:val="0000FF"/>
            </w:rPr>
            <w:t>21</w:t>
          </w:r>
          <w:r>
            <w:fldChar w:fldCharType="end"/>
          </w:r>
        </w:p>
        <w:p w14:paraId="6D492E3A" w14:textId="77777777" w:rsidR="0020214C" w:rsidRDefault="003F4C7F">
          <w:pPr>
            <w:tabs>
              <w:tab w:val="right" w:pos="11106"/>
            </w:tabs>
            <w:spacing w:before="200" w:line="240" w:lineRule="auto"/>
            <w:rPr>
              <w:b/>
              <w:color w:val="0000FF"/>
            </w:rPr>
          </w:pPr>
          <w:hyperlink w:anchor="_l07s06b5622k">
            <w:r>
              <w:rPr>
                <w:b/>
                <w:color w:val="0000FF"/>
              </w:rPr>
              <w:t>Conclusions</w:t>
            </w:r>
          </w:hyperlink>
          <w:r>
            <w:rPr>
              <w:b/>
              <w:color w:val="0000FF"/>
            </w:rPr>
            <w:tab/>
          </w:r>
          <w:r>
            <w:fldChar w:fldCharType="begin"/>
          </w:r>
          <w:r>
            <w:instrText xml:space="preserve"> PAGEREF _l07s06b5622k \h </w:instrText>
          </w:r>
          <w:r>
            <w:fldChar w:fldCharType="separate"/>
          </w:r>
          <w:r>
            <w:rPr>
              <w:b/>
              <w:color w:val="0000FF"/>
            </w:rPr>
            <w:t>29</w:t>
          </w:r>
          <w:r>
            <w:fldChar w:fldCharType="end"/>
          </w:r>
        </w:p>
        <w:p w14:paraId="2B7F5DE8" w14:textId="77777777" w:rsidR="0020214C" w:rsidRDefault="003F4C7F">
          <w:pPr>
            <w:tabs>
              <w:tab w:val="right" w:pos="11106"/>
            </w:tabs>
            <w:spacing w:before="200" w:line="240" w:lineRule="auto"/>
            <w:rPr>
              <w:b/>
              <w:color w:val="0000FF"/>
            </w:rPr>
          </w:pPr>
          <w:hyperlink w:anchor="_91ckij93zkck">
            <w:r>
              <w:rPr>
                <w:b/>
                <w:color w:val="0000FF"/>
              </w:rPr>
              <w:t>Remark</w:t>
            </w:r>
          </w:hyperlink>
          <w:r>
            <w:rPr>
              <w:b/>
              <w:color w:val="0000FF"/>
            </w:rPr>
            <w:tab/>
          </w:r>
          <w:r>
            <w:fldChar w:fldCharType="begin"/>
          </w:r>
          <w:r>
            <w:instrText xml:space="preserve"> PAGEREF _91ckij93zkck \h </w:instrText>
          </w:r>
          <w:r>
            <w:fldChar w:fldCharType="separate"/>
          </w:r>
          <w:r>
            <w:rPr>
              <w:b/>
              <w:color w:val="0000FF"/>
            </w:rPr>
            <w:t>30</w:t>
          </w:r>
          <w:r>
            <w:fldChar w:fldCharType="end"/>
          </w:r>
        </w:p>
        <w:p w14:paraId="50426A6B" w14:textId="77777777" w:rsidR="0020214C" w:rsidRDefault="003F4C7F">
          <w:pPr>
            <w:tabs>
              <w:tab w:val="right" w:pos="11106"/>
            </w:tabs>
            <w:spacing w:before="200" w:line="240" w:lineRule="auto"/>
            <w:rPr>
              <w:b/>
              <w:color w:val="0000FF"/>
            </w:rPr>
          </w:pPr>
          <w:hyperlink w:anchor="_a2jw5vxlhr1o">
            <w:r>
              <w:rPr>
                <w:b/>
                <w:color w:val="0000FF"/>
              </w:rPr>
              <w:t>Appendix</w:t>
            </w:r>
          </w:hyperlink>
          <w:r>
            <w:rPr>
              <w:b/>
              <w:color w:val="0000FF"/>
            </w:rPr>
            <w:tab/>
          </w:r>
          <w:r>
            <w:fldChar w:fldCharType="begin"/>
          </w:r>
          <w:r>
            <w:instrText xml:space="preserve"> PAGEREF _a2jw5vxlhr1o \h </w:instrText>
          </w:r>
          <w:r>
            <w:fldChar w:fldCharType="separate"/>
          </w:r>
          <w:r>
            <w:rPr>
              <w:b/>
              <w:color w:val="0000FF"/>
            </w:rPr>
            <w:t>31</w:t>
          </w:r>
          <w:r>
            <w:fldChar w:fldCharType="end"/>
          </w:r>
        </w:p>
        <w:p w14:paraId="1EF95C3F" w14:textId="77777777" w:rsidR="0020214C" w:rsidRDefault="003F4C7F">
          <w:pPr>
            <w:tabs>
              <w:tab w:val="right" w:pos="11106"/>
            </w:tabs>
            <w:spacing w:before="200" w:line="240" w:lineRule="auto"/>
            <w:rPr>
              <w:b/>
              <w:color w:val="0000FF"/>
            </w:rPr>
          </w:pPr>
          <w:hyperlink w:anchor="_z9x9vk5tmap6">
            <w:r>
              <w:rPr>
                <w:b/>
                <w:color w:val="0000FF"/>
              </w:rPr>
              <w:t>Appendix 2 - Real Life Performance 2019-07-18 - 2020-02-05</w:t>
            </w:r>
          </w:hyperlink>
          <w:r>
            <w:rPr>
              <w:b/>
              <w:color w:val="0000FF"/>
            </w:rPr>
            <w:tab/>
          </w:r>
          <w:r>
            <w:fldChar w:fldCharType="begin"/>
          </w:r>
          <w:r>
            <w:instrText xml:space="preserve"> PAGEREF _z9x9vk5tmap6 \h </w:instrText>
          </w:r>
          <w:r>
            <w:fldChar w:fldCharType="separate"/>
          </w:r>
          <w:r>
            <w:rPr>
              <w:b/>
              <w:color w:val="0000FF"/>
            </w:rPr>
            <w:t>33</w:t>
          </w:r>
          <w:r>
            <w:fldChar w:fldCharType="end"/>
          </w:r>
        </w:p>
        <w:p w14:paraId="5F549A67" w14:textId="77777777" w:rsidR="0020214C" w:rsidRDefault="003F4C7F">
          <w:pPr>
            <w:tabs>
              <w:tab w:val="right" w:pos="11106"/>
            </w:tabs>
            <w:spacing w:before="200" w:after="80" w:line="240" w:lineRule="auto"/>
            <w:rPr>
              <w:b/>
              <w:color w:val="0000FF"/>
            </w:rPr>
          </w:pPr>
          <w:hyperlink w:anchor="_z8gb1w3uq0od">
            <w:r>
              <w:rPr>
                <w:b/>
                <w:color w:val="0000FF"/>
              </w:rPr>
              <w:t>Appendix 3 - VIX Based Leverage Indicator - 2020-03-18</w:t>
            </w:r>
          </w:hyperlink>
          <w:r>
            <w:rPr>
              <w:b/>
              <w:color w:val="0000FF"/>
            </w:rPr>
            <w:tab/>
          </w:r>
          <w:r>
            <w:fldChar w:fldCharType="begin"/>
          </w:r>
          <w:r>
            <w:instrText xml:space="preserve"> PAGEREF _z8gb1w3uq0od \h </w:instrText>
          </w:r>
          <w:r>
            <w:fldChar w:fldCharType="separate"/>
          </w:r>
          <w:r>
            <w:rPr>
              <w:b/>
              <w:color w:val="0000FF"/>
            </w:rPr>
            <w:t>36</w:t>
          </w:r>
          <w:r>
            <w:fldChar w:fldCharType="end"/>
          </w:r>
          <w:r>
            <w:fldChar w:fldCharType="end"/>
          </w:r>
        </w:p>
      </w:sdtContent>
    </w:sdt>
    <w:p w14:paraId="4BB44020" w14:textId="77777777" w:rsidR="0020214C" w:rsidRDefault="003F4C7F">
      <w:pPr>
        <w:pStyle w:val="Heading1"/>
        <w:pBdr>
          <w:top w:val="nil"/>
          <w:left w:val="nil"/>
          <w:bottom w:val="nil"/>
          <w:right w:val="nil"/>
          <w:between w:val="nil"/>
        </w:pBdr>
        <w:spacing w:before="240" w:line="268" w:lineRule="auto"/>
        <w:rPr>
          <w:color w:val="38761D"/>
        </w:rPr>
      </w:pPr>
      <w:bookmarkStart w:id="1" w:name="_1nf4nvhr1fn1" w:colFirst="0" w:colLast="0"/>
      <w:bookmarkEnd w:id="1"/>
      <w:r>
        <w:rPr>
          <w:color w:val="38761D"/>
        </w:rPr>
        <w:t>Motivation</w:t>
      </w:r>
    </w:p>
    <w:p w14:paraId="5D0CFC3E" w14:textId="77777777" w:rsidR="0020214C" w:rsidRDefault="0020214C">
      <w:pPr>
        <w:pBdr>
          <w:top w:val="nil"/>
          <w:left w:val="nil"/>
          <w:bottom w:val="nil"/>
          <w:right w:val="nil"/>
          <w:between w:val="nil"/>
        </w:pBdr>
        <w:jc w:val="both"/>
      </w:pPr>
    </w:p>
    <w:p w14:paraId="5635B096" w14:textId="77777777" w:rsidR="0020214C" w:rsidRDefault="003F4C7F">
      <w:pPr>
        <w:jc w:val="both"/>
      </w:pPr>
      <w:r>
        <w:t xml:space="preserve">In real life, we played an </w:t>
      </w:r>
      <w:r>
        <w:rPr>
          <w:b/>
        </w:rPr>
        <w:t>FOMC meeting based live VXX strategy</w:t>
      </w:r>
      <w:r>
        <w:t xml:space="preserve"> from 2014-01-22 to 2018-02-05. The name of the strategy was changed to </w:t>
      </w:r>
      <w:proofErr w:type="spellStart"/>
      <w:r>
        <w:rPr>
          <w:b/>
        </w:rPr>
        <w:t>UberVXX</w:t>
      </w:r>
      <w:proofErr w:type="spellEnd"/>
      <w:r>
        <w:rPr>
          <w:b/>
        </w:rPr>
        <w:t xml:space="preserve"> Live Strategy</w:t>
      </w:r>
      <w:r>
        <w:t xml:space="preserve"> in December, 2014, as it had several parts: </w:t>
      </w:r>
      <w:r>
        <w:rPr>
          <w:b/>
        </w:rPr>
        <w:t>FOMC meetings</w:t>
      </w:r>
      <w:r>
        <w:t xml:space="preserve"> (from the beginning), </w:t>
      </w:r>
      <w:r>
        <w:rPr>
          <w:b/>
        </w:rPr>
        <w:t>holidays</w:t>
      </w:r>
      <w:r>
        <w:t xml:space="preserve"> (since Sep</w:t>
      </w:r>
      <w:r>
        <w:t xml:space="preserve">tember, 2014), </w:t>
      </w:r>
      <w:r>
        <w:rPr>
          <w:b/>
        </w:rPr>
        <w:t>option expiration days</w:t>
      </w:r>
      <w:r>
        <w:t xml:space="preserve"> (OPEX - since October, 2014), </w:t>
      </w:r>
      <w:r>
        <w:rPr>
          <w:b/>
        </w:rPr>
        <w:t>turn of the month</w:t>
      </w:r>
      <w:r>
        <w:t xml:space="preserve"> (</w:t>
      </w:r>
      <w:proofErr w:type="spellStart"/>
      <w:r>
        <w:t>ToTM</w:t>
      </w:r>
      <w:proofErr w:type="spellEnd"/>
      <w:r>
        <w:t xml:space="preserve"> - since October, 2014), </w:t>
      </w:r>
      <w:r>
        <w:rPr>
          <w:b/>
        </w:rPr>
        <w:t>VIX futures expiration days</w:t>
      </w:r>
      <w:r>
        <w:t xml:space="preserve"> (VIXFUTEX - since January, 2015), </w:t>
      </w:r>
      <w:r>
        <w:rPr>
          <w:b/>
        </w:rPr>
        <w:t>turn of the mid-month</w:t>
      </w:r>
      <w:r>
        <w:t xml:space="preserve"> (</w:t>
      </w:r>
      <w:proofErr w:type="spellStart"/>
      <w:r>
        <w:t>ToTMM</w:t>
      </w:r>
      <w:proofErr w:type="spellEnd"/>
      <w:r>
        <w:t xml:space="preserve"> - since April, 2015) and ‘</w:t>
      </w:r>
      <w:r>
        <w:rPr>
          <w:b/>
        </w:rPr>
        <w:t>VIX-based</w:t>
      </w:r>
      <w:r>
        <w:t xml:space="preserve"> </w:t>
      </w:r>
      <w:r>
        <w:rPr>
          <w:b/>
        </w:rPr>
        <w:t xml:space="preserve">MIX’ </w:t>
      </w:r>
      <w:r>
        <w:t>(volatil</w:t>
      </w:r>
      <w:r>
        <w:t xml:space="preserve">ity indicators (contango indicator, VIX/VXV ratio, etc.) based sub-strategy - from the beginning) sub-strategies. In addition, </w:t>
      </w:r>
      <w:r>
        <w:rPr>
          <w:b/>
        </w:rPr>
        <w:t>Winter-Summer seasonality</w:t>
      </w:r>
      <w:r>
        <w:t xml:space="preserve"> filters were applied as well. Since January, 2015, we did not play the ‘VIX-based MIX’ part, only event</w:t>
      </w:r>
      <w:r>
        <w:t xml:space="preserve">s and </w:t>
      </w:r>
      <w:proofErr w:type="spellStart"/>
      <w:r>
        <w:t>seasonalities</w:t>
      </w:r>
      <w:proofErr w:type="spellEnd"/>
      <w:r>
        <w:t xml:space="preserve">. These </w:t>
      </w:r>
      <w:r>
        <w:rPr>
          <w:b/>
        </w:rPr>
        <w:t>parts were revised and modified several times</w:t>
      </w:r>
      <w:r>
        <w:t xml:space="preserve"> in the past. </w:t>
      </w:r>
    </w:p>
    <w:p w14:paraId="64C45111" w14:textId="77777777" w:rsidR="0020214C" w:rsidRDefault="0020214C">
      <w:pPr>
        <w:jc w:val="both"/>
      </w:pPr>
    </w:p>
    <w:p w14:paraId="5A66EC90" w14:textId="77777777" w:rsidR="0020214C" w:rsidRDefault="003F4C7F">
      <w:pPr>
        <w:jc w:val="both"/>
      </w:pPr>
      <w:r>
        <w:t xml:space="preserve">Unfortunately, on </w:t>
      </w:r>
      <w:r>
        <w:rPr>
          <w:b/>
        </w:rPr>
        <w:t>Monday, 2018-02-05, there was a big volatility market panic</w:t>
      </w:r>
      <w:r>
        <w:t xml:space="preserve">, which was exacerbated in the </w:t>
      </w:r>
      <w:r>
        <w:rPr>
          <w:b/>
        </w:rPr>
        <w:t>15 minutes after market close</w:t>
      </w:r>
      <w:r>
        <w:t xml:space="preserve">. This panic </w:t>
      </w:r>
      <w:r>
        <w:rPr>
          <w:b/>
        </w:rPr>
        <w:t xml:space="preserve">almost killed our </w:t>
      </w:r>
      <w:proofErr w:type="spellStart"/>
      <w:r>
        <w:rPr>
          <w:b/>
        </w:rPr>
        <w:t>UberVXX</w:t>
      </w:r>
      <w:proofErr w:type="spellEnd"/>
      <w:r>
        <w:rPr>
          <w:b/>
        </w:rPr>
        <w:t xml:space="preserve"> Live portfolio as we were in long XIV position after market close and this ETF lost about 92.5% of its value within minutes</w:t>
      </w:r>
      <w:r>
        <w:t xml:space="preserve">. It is worth noting that if we had been in ‘riskier’ short VXX position (instead of the ‘equivalent’ long </w:t>
      </w:r>
      <w:r>
        <w:t>XIV), our loss would have been only 2.41%. The explanation of this event can be read here: ‘</w:t>
      </w:r>
      <w:hyperlink r:id="rId7">
        <w:r>
          <w:rPr>
            <w:color w:val="1155CC"/>
            <w:u w:val="single"/>
          </w:rPr>
          <w:t>2018-02-05 VIX Panic: What Happened</w:t>
        </w:r>
      </w:hyperlink>
      <w:r>
        <w:t>’.</w:t>
      </w:r>
    </w:p>
    <w:p w14:paraId="398E4607" w14:textId="77777777" w:rsidR="0020214C" w:rsidRDefault="0020214C">
      <w:pPr>
        <w:jc w:val="both"/>
      </w:pPr>
    </w:p>
    <w:p w14:paraId="22213BBC" w14:textId="77777777" w:rsidR="0020214C" w:rsidRDefault="003F4C7F">
      <w:pPr>
        <w:jc w:val="both"/>
      </w:pPr>
      <w:r>
        <w:t xml:space="preserve">After this event, the </w:t>
      </w:r>
      <w:proofErr w:type="spellStart"/>
      <w:r>
        <w:rPr>
          <w:b/>
        </w:rPr>
        <w:t>Uber</w:t>
      </w:r>
      <w:r>
        <w:rPr>
          <w:b/>
        </w:rPr>
        <w:t>VXX</w:t>
      </w:r>
      <w:proofErr w:type="spellEnd"/>
      <w:r>
        <w:rPr>
          <w:b/>
        </w:rPr>
        <w:t xml:space="preserve"> Live strategy has been halted</w:t>
      </w:r>
      <w:r>
        <w:t>. Although the strategy was</w:t>
      </w:r>
      <w:r>
        <w:rPr>
          <w:b/>
        </w:rPr>
        <w:t xml:space="preserve"> incredibly successful before</w:t>
      </w:r>
      <w:r>
        <w:t xml:space="preserve">, it was decided not playing the strategy in its previous form anymore. </w:t>
      </w:r>
    </w:p>
    <w:p w14:paraId="6FFD4FD2" w14:textId="77777777" w:rsidR="0020214C" w:rsidRDefault="0020214C">
      <w:pPr>
        <w:jc w:val="both"/>
      </w:pPr>
    </w:p>
    <w:p w14:paraId="63EC11CA" w14:textId="77777777" w:rsidR="0020214C" w:rsidRDefault="003F4C7F">
      <w:pPr>
        <w:jc w:val="both"/>
      </w:pPr>
      <w:r>
        <w:lastRenderedPageBreak/>
        <w:t xml:space="preserve">However, we </w:t>
      </w:r>
      <w:r>
        <w:rPr>
          <w:b/>
        </w:rPr>
        <w:t>did not want to completely eliminate the strategy</w:t>
      </w:r>
      <w:r>
        <w:t xml:space="preserve"> because of its </w:t>
      </w:r>
      <w:r>
        <w:rPr>
          <w:b/>
        </w:rPr>
        <w:t>previous success</w:t>
      </w:r>
      <w:r>
        <w:t xml:space="preserve">. For this reason, we have developed our new </w:t>
      </w:r>
      <w:r>
        <w:rPr>
          <w:b/>
        </w:rPr>
        <w:t xml:space="preserve">Renewed Uber </w:t>
      </w:r>
      <w:r>
        <w:t xml:space="preserve">strategy, which is the </w:t>
      </w:r>
      <w:r>
        <w:rPr>
          <w:b/>
        </w:rPr>
        <w:t>recast of the previous one</w:t>
      </w:r>
      <w:r>
        <w:t xml:space="preserve"> with the use of </w:t>
      </w:r>
      <w:r>
        <w:rPr>
          <w:b/>
        </w:rPr>
        <w:t>some new trading instruments</w:t>
      </w:r>
      <w:r>
        <w:t xml:space="preserve"> (QQQ, SPY, hedges, etc.) and we started to trade it on 2018-05-14. Details of this strategy can be read</w:t>
      </w:r>
      <w:r>
        <w:t xml:space="preserve"> in our</w:t>
      </w:r>
      <w:r>
        <w:rPr>
          <w:i/>
        </w:rPr>
        <w:t xml:space="preserve"> ‘</w:t>
      </w:r>
      <w:hyperlink r:id="rId8">
        <w:r>
          <w:rPr>
            <w:b/>
            <w:i/>
            <w:color w:val="1155CC"/>
            <w:u w:val="single"/>
          </w:rPr>
          <w:t>The Renewed Uber Strategy</w:t>
        </w:r>
      </w:hyperlink>
      <w:r>
        <w:rPr>
          <w:i/>
        </w:rPr>
        <w:t xml:space="preserve">’ </w:t>
      </w:r>
      <w:r>
        <w:t>study.</w:t>
      </w:r>
    </w:p>
    <w:p w14:paraId="72735ECD" w14:textId="77777777" w:rsidR="0020214C" w:rsidRDefault="003F4C7F">
      <w:pPr>
        <w:pBdr>
          <w:top w:val="nil"/>
          <w:left w:val="nil"/>
          <w:bottom w:val="nil"/>
          <w:right w:val="nil"/>
          <w:between w:val="nil"/>
        </w:pBdr>
        <w:jc w:val="both"/>
      </w:pPr>
      <w:r>
        <w:t xml:space="preserve">In this study, </w:t>
      </w:r>
      <w:r>
        <w:rPr>
          <w:b/>
        </w:rPr>
        <w:t>a revision of our Renewed Uber strategy is presented</w:t>
      </w:r>
      <w:r>
        <w:t>. During the calculations, I h</w:t>
      </w:r>
      <w:r>
        <w:t xml:space="preserve">ave used daily adjusted close prices </w:t>
      </w:r>
      <w:r>
        <w:rPr>
          <w:b/>
        </w:rPr>
        <w:t>from 2004-03-26 to 2019-05-24</w:t>
      </w:r>
      <w:r>
        <w:t xml:space="preserve">. </w:t>
      </w:r>
    </w:p>
    <w:p w14:paraId="4F08D84E" w14:textId="77777777" w:rsidR="0020214C" w:rsidRDefault="003F4C7F">
      <w:pPr>
        <w:pStyle w:val="Heading1"/>
        <w:spacing w:before="0" w:line="271" w:lineRule="auto"/>
        <w:rPr>
          <w:color w:val="38761D"/>
        </w:rPr>
      </w:pPr>
      <w:bookmarkStart w:id="2" w:name="_1bic9w1h4fub" w:colFirst="0" w:colLast="0"/>
      <w:bookmarkEnd w:id="2"/>
      <w:r>
        <w:rPr>
          <w:color w:val="38761D"/>
        </w:rPr>
        <w:t>Background</w:t>
      </w:r>
    </w:p>
    <w:p w14:paraId="215F0FAA" w14:textId="77777777" w:rsidR="0020214C" w:rsidRDefault="0020214C">
      <w:pPr>
        <w:jc w:val="both"/>
      </w:pPr>
    </w:p>
    <w:p w14:paraId="56E8B2BD" w14:textId="77777777" w:rsidR="0020214C" w:rsidRDefault="003F4C7F">
      <w:pPr>
        <w:pStyle w:val="Heading2"/>
        <w:jc w:val="both"/>
        <w:rPr>
          <w:rFonts w:ascii="Arial" w:eastAsia="Arial" w:hAnsi="Arial" w:cs="Arial"/>
          <w:color w:val="FF0000"/>
          <w:sz w:val="28"/>
          <w:szCs w:val="28"/>
        </w:rPr>
      </w:pPr>
      <w:bookmarkStart w:id="3" w:name="_gxn9de1uj48u" w:colFirst="0" w:colLast="0"/>
      <w:bookmarkEnd w:id="3"/>
      <w:r>
        <w:rPr>
          <w:rFonts w:ascii="Arial" w:eastAsia="Arial" w:hAnsi="Arial" w:cs="Arial"/>
          <w:color w:val="FF0000"/>
          <w:sz w:val="28"/>
          <w:szCs w:val="28"/>
        </w:rPr>
        <w:t>The Renewed Uber Strategy</w:t>
      </w:r>
    </w:p>
    <w:p w14:paraId="381DEF87" w14:textId="77777777" w:rsidR="0020214C" w:rsidRDefault="0020214C">
      <w:pPr>
        <w:pBdr>
          <w:top w:val="nil"/>
          <w:left w:val="nil"/>
          <w:bottom w:val="nil"/>
          <w:right w:val="nil"/>
          <w:between w:val="nil"/>
        </w:pBdr>
        <w:jc w:val="both"/>
      </w:pPr>
    </w:p>
    <w:p w14:paraId="6F7AD2F9" w14:textId="77777777" w:rsidR="0020214C" w:rsidRDefault="003F4C7F">
      <w:pPr>
        <w:pBdr>
          <w:top w:val="nil"/>
          <w:left w:val="nil"/>
          <w:bottom w:val="nil"/>
          <w:right w:val="nil"/>
          <w:between w:val="nil"/>
        </w:pBdr>
        <w:jc w:val="both"/>
        <w:rPr>
          <w:i/>
          <w:color w:val="38761D"/>
          <w:sz w:val="24"/>
          <w:szCs w:val="24"/>
        </w:rPr>
      </w:pPr>
      <w:r>
        <w:rPr>
          <w:i/>
          <w:color w:val="38761D"/>
          <w:sz w:val="24"/>
          <w:szCs w:val="24"/>
        </w:rPr>
        <w:t>Sub-strategies</w:t>
      </w:r>
    </w:p>
    <w:p w14:paraId="55FC9EDB" w14:textId="77777777" w:rsidR="0020214C" w:rsidRDefault="0020214C">
      <w:pPr>
        <w:pBdr>
          <w:top w:val="nil"/>
          <w:left w:val="nil"/>
          <w:bottom w:val="nil"/>
          <w:right w:val="nil"/>
          <w:between w:val="nil"/>
        </w:pBdr>
        <w:jc w:val="both"/>
        <w:rPr>
          <w:i/>
          <w:color w:val="0000FF"/>
        </w:rPr>
      </w:pPr>
    </w:p>
    <w:p w14:paraId="57670FE6" w14:textId="77777777" w:rsidR="0020214C" w:rsidRDefault="003F4C7F">
      <w:pPr>
        <w:pBdr>
          <w:top w:val="nil"/>
          <w:left w:val="nil"/>
          <w:bottom w:val="nil"/>
          <w:right w:val="nil"/>
          <w:between w:val="nil"/>
        </w:pBdr>
        <w:jc w:val="both"/>
      </w:pPr>
      <w:r>
        <w:t>The Renewed Uber Strategy contains six sub-strategies: FOMC, Holidays, OPEX, VIXFUTEX, Turn-of-the-Month and Turn-of-the-Mid-Month. Their hierarchy can be seen below:</w:t>
      </w:r>
    </w:p>
    <w:p w14:paraId="27D9CA51" w14:textId="77777777" w:rsidR="0020214C" w:rsidRDefault="003F4C7F">
      <w:pPr>
        <w:pBdr>
          <w:top w:val="nil"/>
          <w:left w:val="nil"/>
          <w:bottom w:val="nil"/>
          <w:right w:val="nil"/>
          <w:between w:val="nil"/>
        </w:pBdr>
        <w:jc w:val="center"/>
      </w:pPr>
      <w:r>
        <w:rPr>
          <w:b/>
          <w:noProof/>
        </w:rPr>
        <w:drawing>
          <wp:inline distT="114300" distB="114300" distL="114300" distR="114300" wp14:anchorId="3FFDC95D" wp14:editId="0622D585">
            <wp:extent cx="5514975" cy="3200400"/>
            <wp:effectExtent l="0" t="0" r="0" b="0"/>
            <wp:docPr id="1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
                    <a:srcRect/>
                    <a:stretch>
                      <a:fillRect/>
                    </a:stretch>
                  </pic:blipFill>
                  <pic:spPr>
                    <a:xfrm>
                      <a:off x="0" y="0"/>
                      <a:ext cx="5514975" cy="3200400"/>
                    </a:xfrm>
                    <a:prstGeom prst="rect">
                      <a:avLst/>
                    </a:prstGeom>
                    <a:ln/>
                  </pic:spPr>
                </pic:pic>
              </a:graphicData>
            </a:graphic>
          </wp:inline>
        </w:drawing>
      </w:r>
      <w:r>
        <w:t xml:space="preserve"> </w:t>
      </w:r>
    </w:p>
    <w:p w14:paraId="69333E25" w14:textId="77777777" w:rsidR="0020214C" w:rsidRDefault="0020214C">
      <w:pPr>
        <w:pBdr>
          <w:top w:val="nil"/>
          <w:left w:val="nil"/>
          <w:bottom w:val="nil"/>
          <w:right w:val="nil"/>
          <w:between w:val="nil"/>
        </w:pBdr>
        <w:jc w:val="both"/>
      </w:pPr>
    </w:p>
    <w:p w14:paraId="6DE3FE89" w14:textId="77777777" w:rsidR="0020214C" w:rsidRDefault="003F4C7F">
      <w:pPr>
        <w:pBdr>
          <w:top w:val="nil"/>
          <w:left w:val="nil"/>
          <w:bottom w:val="nil"/>
          <w:right w:val="nil"/>
          <w:between w:val="nil"/>
        </w:pBdr>
        <w:jc w:val="both"/>
        <w:rPr>
          <w:i/>
          <w:color w:val="0000FF"/>
        </w:rPr>
      </w:pPr>
      <w:r>
        <w:rPr>
          <w:i/>
          <w:color w:val="0000FF"/>
        </w:rPr>
        <w:t>“It means that if there is a non-zero</w:t>
      </w:r>
      <w:r>
        <w:rPr>
          <w:b/>
          <w:i/>
          <w:color w:val="0000FF"/>
        </w:rPr>
        <w:t xml:space="preserve"> ‘FOMC signal’</w:t>
      </w:r>
      <w:r>
        <w:rPr>
          <w:i/>
          <w:color w:val="0000FF"/>
        </w:rPr>
        <w:t>, play it</w:t>
      </w:r>
      <w:r>
        <w:rPr>
          <w:b/>
          <w:i/>
          <w:color w:val="0000FF"/>
        </w:rPr>
        <w:t>.</w:t>
      </w:r>
      <w:r>
        <w:rPr>
          <w:i/>
          <w:color w:val="0000FF"/>
        </w:rPr>
        <w:t xml:space="preserve"> Otherwise, if there is </w:t>
      </w:r>
      <w:r>
        <w:rPr>
          <w:i/>
          <w:color w:val="0000FF"/>
        </w:rPr>
        <w:t xml:space="preserve">a nonzero </w:t>
      </w:r>
      <w:r>
        <w:rPr>
          <w:b/>
          <w:i/>
          <w:color w:val="0000FF"/>
        </w:rPr>
        <w:t>‘Holidays signal’</w:t>
      </w:r>
      <w:r>
        <w:rPr>
          <w:i/>
          <w:color w:val="0000FF"/>
        </w:rPr>
        <w:t xml:space="preserve">, play it. If there is neither non-zero ‘FOMC signal’ nor non-zero ‘Holidays signal’, play the </w:t>
      </w:r>
      <w:r>
        <w:rPr>
          <w:b/>
          <w:i/>
          <w:color w:val="0000FF"/>
        </w:rPr>
        <w:t xml:space="preserve">resultant of the OPEX, VIXFUTEX, </w:t>
      </w:r>
      <w:proofErr w:type="spellStart"/>
      <w:r>
        <w:rPr>
          <w:b/>
          <w:i/>
          <w:color w:val="0000FF"/>
        </w:rPr>
        <w:t>TotM</w:t>
      </w:r>
      <w:proofErr w:type="spellEnd"/>
      <w:r>
        <w:rPr>
          <w:b/>
          <w:i/>
          <w:color w:val="0000FF"/>
        </w:rPr>
        <w:t xml:space="preserve"> and </w:t>
      </w:r>
      <w:proofErr w:type="spellStart"/>
      <w:r>
        <w:rPr>
          <w:b/>
          <w:i/>
          <w:color w:val="0000FF"/>
        </w:rPr>
        <w:t>TotMM</w:t>
      </w:r>
      <w:proofErr w:type="spellEnd"/>
      <w:r>
        <w:rPr>
          <w:b/>
          <w:i/>
          <w:color w:val="0000FF"/>
        </w:rPr>
        <w:t xml:space="preserve"> signals</w:t>
      </w:r>
      <w:r>
        <w:rPr>
          <w:i/>
          <w:color w:val="0000FF"/>
        </w:rPr>
        <w:t xml:space="preserve"> (the sign of their sum). If all of the signals are zero, </w:t>
      </w:r>
      <w:r>
        <w:rPr>
          <w:b/>
          <w:i/>
          <w:color w:val="0000FF"/>
        </w:rPr>
        <w:t>stay in cash</w:t>
      </w:r>
      <w:r>
        <w:rPr>
          <w:i/>
          <w:color w:val="0000FF"/>
        </w:rPr>
        <w:t>.”</w:t>
      </w:r>
    </w:p>
    <w:p w14:paraId="5EA8B997" w14:textId="77777777" w:rsidR="0020214C" w:rsidRDefault="0020214C">
      <w:pPr>
        <w:pBdr>
          <w:top w:val="nil"/>
          <w:left w:val="nil"/>
          <w:bottom w:val="nil"/>
          <w:right w:val="nil"/>
          <w:between w:val="nil"/>
        </w:pBdr>
        <w:jc w:val="both"/>
        <w:rPr>
          <w:i/>
          <w:color w:val="0000FF"/>
        </w:rPr>
      </w:pPr>
    </w:p>
    <w:p w14:paraId="09E4BE62" w14:textId="77777777" w:rsidR="0020214C" w:rsidRDefault="0020214C">
      <w:pPr>
        <w:jc w:val="both"/>
        <w:rPr>
          <w:i/>
          <w:color w:val="38761D"/>
          <w:sz w:val="24"/>
          <w:szCs w:val="24"/>
        </w:rPr>
      </w:pPr>
    </w:p>
    <w:p w14:paraId="276877FD" w14:textId="77777777" w:rsidR="0020214C" w:rsidRDefault="003F4C7F">
      <w:pPr>
        <w:jc w:val="both"/>
        <w:rPr>
          <w:i/>
          <w:color w:val="38761D"/>
          <w:sz w:val="24"/>
          <w:szCs w:val="24"/>
        </w:rPr>
      </w:pPr>
      <w:r>
        <w:rPr>
          <w:i/>
          <w:color w:val="38761D"/>
          <w:sz w:val="24"/>
          <w:szCs w:val="24"/>
        </w:rPr>
        <w:t>Basi</w:t>
      </w:r>
      <w:r>
        <w:rPr>
          <w:i/>
          <w:color w:val="38761D"/>
          <w:sz w:val="24"/>
          <w:szCs w:val="24"/>
        </w:rPr>
        <w:t>c Ideas</w:t>
      </w:r>
    </w:p>
    <w:p w14:paraId="6DCFFC33" w14:textId="77777777" w:rsidR="0020214C" w:rsidRDefault="0020214C">
      <w:pPr>
        <w:jc w:val="both"/>
        <w:rPr>
          <w:i/>
          <w:color w:val="0000FF"/>
        </w:rPr>
      </w:pPr>
    </w:p>
    <w:p w14:paraId="5F0B21D1" w14:textId="77777777" w:rsidR="0020214C" w:rsidRDefault="003F4C7F">
      <w:pPr>
        <w:jc w:val="both"/>
        <w:rPr>
          <w:i/>
          <w:color w:val="0000FF"/>
        </w:rPr>
      </w:pPr>
      <w:r>
        <w:rPr>
          <w:i/>
          <w:color w:val="0000FF"/>
        </w:rPr>
        <w:t xml:space="preserve">“As it was mentioned in the Motivation chapter, we have found </w:t>
      </w:r>
      <w:r>
        <w:rPr>
          <w:b/>
          <w:i/>
          <w:color w:val="0000FF"/>
        </w:rPr>
        <w:t xml:space="preserve">the base </w:t>
      </w:r>
      <w:proofErr w:type="spellStart"/>
      <w:r>
        <w:rPr>
          <w:b/>
          <w:i/>
          <w:color w:val="0000FF"/>
        </w:rPr>
        <w:t>UberVXX</w:t>
      </w:r>
      <w:proofErr w:type="spellEnd"/>
      <w:r>
        <w:rPr>
          <w:b/>
          <w:i/>
          <w:color w:val="0000FF"/>
        </w:rPr>
        <w:t xml:space="preserve"> strategy</w:t>
      </w:r>
      <w:r>
        <w:rPr>
          <w:i/>
          <w:color w:val="0000FF"/>
        </w:rPr>
        <w:t xml:space="preserve"> (trading only long VXX or long XIV) </w:t>
      </w:r>
      <w:r>
        <w:rPr>
          <w:b/>
          <w:i/>
          <w:color w:val="0000FF"/>
        </w:rPr>
        <w:t>too risky</w:t>
      </w:r>
      <w:r>
        <w:rPr>
          <w:i/>
          <w:color w:val="0000FF"/>
        </w:rPr>
        <w:t xml:space="preserve">. We would like </w:t>
      </w:r>
      <w:r>
        <w:rPr>
          <w:b/>
          <w:i/>
          <w:color w:val="0000FF"/>
        </w:rPr>
        <w:t>avoiding huge daily moves</w:t>
      </w:r>
      <w:r>
        <w:rPr>
          <w:i/>
          <w:color w:val="0000FF"/>
        </w:rPr>
        <w:t xml:space="preserve"> (which is frequent in case of volatility ETFs) and </w:t>
      </w:r>
      <w:r>
        <w:rPr>
          <w:b/>
          <w:i/>
          <w:color w:val="0000FF"/>
        </w:rPr>
        <w:t>reducing some kind of</w:t>
      </w:r>
      <w:r>
        <w:rPr>
          <w:b/>
          <w:i/>
          <w:color w:val="0000FF"/>
        </w:rPr>
        <w:t xml:space="preserve"> risks</w:t>
      </w:r>
      <w:r>
        <w:rPr>
          <w:i/>
          <w:color w:val="0000FF"/>
        </w:rPr>
        <w:t xml:space="preserve"> (e.g. liquidity, methodology, tracking error, counterparty, closure or hype risks). Thus, our main idea is </w:t>
      </w:r>
      <w:r>
        <w:rPr>
          <w:b/>
          <w:i/>
          <w:color w:val="0000FF"/>
        </w:rPr>
        <w:t>diversification</w:t>
      </w:r>
      <w:r>
        <w:rPr>
          <w:i/>
          <w:color w:val="0000FF"/>
        </w:rPr>
        <w:t>:</w:t>
      </w:r>
      <w:r>
        <w:rPr>
          <w:b/>
          <w:i/>
          <w:color w:val="0000FF"/>
        </w:rPr>
        <w:t xml:space="preserve"> instead of pure long VXX or long XIV trades, a cocktail of different ETPs</w:t>
      </w:r>
      <w:r>
        <w:rPr>
          <w:i/>
          <w:color w:val="0000FF"/>
        </w:rPr>
        <w:t xml:space="preserve"> should be traded. Furthermore, </w:t>
      </w:r>
      <w:r>
        <w:rPr>
          <w:b/>
          <w:i/>
          <w:color w:val="0000FF"/>
        </w:rPr>
        <w:t>using hedges (e.g. b</w:t>
      </w:r>
      <w:r>
        <w:rPr>
          <w:b/>
          <w:i/>
          <w:color w:val="0000FF"/>
        </w:rPr>
        <w:t>ond or gold) would also be desirable</w:t>
      </w:r>
      <w:r>
        <w:rPr>
          <w:i/>
          <w:color w:val="0000FF"/>
        </w:rPr>
        <w:t>.</w:t>
      </w:r>
    </w:p>
    <w:p w14:paraId="491D4157" w14:textId="77777777" w:rsidR="0020214C" w:rsidRDefault="0020214C">
      <w:pPr>
        <w:jc w:val="both"/>
        <w:rPr>
          <w:i/>
          <w:color w:val="0000FF"/>
        </w:rPr>
      </w:pPr>
    </w:p>
    <w:p w14:paraId="02608E76" w14:textId="77777777" w:rsidR="0020214C" w:rsidRDefault="003F4C7F">
      <w:pPr>
        <w:jc w:val="both"/>
        <w:rPr>
          <w:i/>
          <w:color w:val="0000FF"/>
        </w:rPr>
      </w:pPr>
      <w:r>
        <w:rPr>
          <w:i/>
          <w:color w:val="0000FF"/>
        </w:rPr>
        <w:t xml:space="preserve">In this </w:t>
      </w:r>
      <w:r>
        <w:rPr>
          <w:b/>
          <w:i/>
          <w:color w:val="0000FF"/>
        </w:rPr>
        <w:t>Renewed Uber Strategy</w:t>
      </w:r>
      <w:r>
        <w:rPr>
          <w:i/>
          <w:color w:val="0000FF"/>
        </w:rPr>
        <w:t xml:space="preserve">, </w:t>
      </w:r>
      <w:r>
        <w:rPr>
          <w:b/>
          <w:i/>
          <w:color w:val="0000FF"/>
        </w:rPr>
        <w:t>three baskets are defined for bullish days</w:t>
      </w:r>
      <w:r>
        <w:rPr>
          <w:i/>
          <w:color w:val="0000FF"/>
        </w:rPr>
        <w:t>:</w:t>
      </w:r>
    </w:p>
    <w:p w14:paraId="4D45EEE7" w14:textId="77777777" w:rsidR="0020214C" w:rsidRDefault="0020214C">
      <w:pPr>
        <w:jc w:val="both"/>
        <w:rPr>
          <w:i/>
          <w:color w:val="0000FF"/>
        </w:rPr>
      </w:pPr>
    </w:p>
    <w:p w14:paraId="0EEAE9F1" w14:textId="77777777" w:rsidR="0020214C" w:rsidRDefault="003F4C7F">
      <w:pPr>
        <w:numPr>
          <w:ilvl w:val="0"/>
          <w:numId w:val="7"/>
        </w:numPr>
        <w:jc w:val="both"/>
        <w:rPr>
          <w:i/>
          <w:color w:val="0000FF"/>
        </w:rPr>
      </w:pPr>
      <w:r>
        <w:rPr>
          <w:b/>
          <w:i/>
          <w:color w:val="0000FF"/>
          <w:u w:val="single"/>
        </w:rPr>
        <w:lastRenderedPageBreak/>
        <w:t>Short Volatility Basket:</w:t>
      </w:r>
    </w:p>
    <w:p w14:paraId="651D7ABF" w14:textId="77777777" w:rsidR="0020214C" w:rsidRDefault="003F4C7F">
      <w:pPr>
        <w:numPr>
          <w:ilvl w:val="1"/>
          <w:numId w:val="7"/>
        </w:numPr>
        <w:jc w:val="both"/>
        <w:rPr>
          <w:i/>
          <w:color w:val="0000FF"/>
        </w:rPr>
      </w:pPr>
      <w:r>
        <w:rPr>
          <w:b/>
          <w:i/>
          <w:color w:val="0000FF"/>
        </w:rPr>
        <w:t xml:space="preserve">long </w:t>
      </w:r>
      <w:hyperlink r:id="rId10">
        <w:r>
          <w:rPr>
            <w:b/>
            <w:i/>
            <w:color w:val="0000FF"/>
            <w:u w:val="single"/>
          </w:rPr>
          <w:t>SVXY</w:t>
        </w:r>
      </w:hyperlink>
      <w:r>
        <w:rPr>
          <w:i/>
          <w:color w:val="0000FF"/>
        </w:rPr>
        <w:t xml:space="preserve"> (which has only 0.5x leverage since March, </w:t>
      </w:r>
      <w:r>
        <w:rPr>
          <w:i/>
          <w:color w:val="0000FF"/>
        </w:rPr>
        <w:t>2018, thus it can be called SVXY-Light),</w:t>
      </w:r>
    </w:p>
    <w:p w14:paraId="36FAD411" w14:textId="77777777" w:rsidR="0020214C" w:rsidRDefault="003F4C7F">
      <w:pPr>
        <w:numPr>
          <w:ilvl w:val="1"/>
          <w:numId w:val="7"/>
        </w:numPr>
        <w:jc w:val="both"/>
        <w:rPr>
          <w:i/>
          <w:color w:val="0000FF"/>
        </w:rPr>
      </w:pPr>
      <w:r>
        <w:rPr>
          <w:b/>
          <w:i/>
          <w:color w:val="0000FF"/>
        </w:rPr>
        <w:t xml:space="preserve">short </w:t>
      </w:r>
      <w:hyperlink r:id="rId11">
        <w:r>
          <w:rPr>
            <w:b/>
            <w:i/>
            <w:color w:val="0000FF"/>
            <w:u w:val="single"/>
          </w:rPr>
          <w:t>VXX</w:t>
        </w:r>
      </w:hyperlink>
      <w:r>
        <w:rPr>
          <w:b/>
          <w:i/>
          <w:color w:val="0000FF"/>
        </w:rPr>
        <w:t>,</w:t>
      </w:r>
    </w:p>
    <w:p w14:paraId="4FA6727B" w14:textId="77777777" w:rsidR="0020214C" w:rsidRDefault="003F4C7F">
      <w:pPr>
        <w:numPr>
          <w:ilvl w:val="1"/>
          <w:numId w:val="7"/>
        </w:numPr>
        <w:jc w:val="both"/>
        <w:rPr>
          <w:i/>
          <w:color w:val="0000FF"/>
        </w:rPr>
      </w:pPr>
      <w:r>
        <w:rPr>
          <w:b/>
          <w:i/>
          <w:color w:val="0000FF"/>
        </w:rPr>
        <w:t xml:space="preserve">long </w:t>
      </w:r>
      <w:hyperlink r:id="rId12">
        <w:r>
          <w:rPr>
            <w:b/>
            <w:i/>
            <w:color w:val="0000FF"/>
            <w:u w:val="single"/>
          </w:rPr>
          <w:t>ZIV</w:t>
        </w:r>
      </w:hyperlink>
      <w:r>
        <w:rPr>
          <w:i/>
          <w:color w:val="0000FF"/>
        </w:rPr>
        <w:t>;</w:t>
      </w:r>
    </w:p>
    <w:p w14:paraId="3F82BE83" w14:textId="77777777" w:rsidR="0020214C" w:rsidRDefault="0020214C">
      <w:pPr>
        <w:jc w:val="both"/>
        <w:rPr>
          <w:i/>
          <w:color w:val="0000FF"/>
        </w:rPr>
      </w:pPr>
    </w:p>
    <w:p w14:paraId="15D37BAA" w14:textId="77777777" w:rsidR="0020214C" w:rsidRDefault="0020214C">
      <w:pPr>
        <w:jc w:val="both"/>
        <w:rPr>
          <w:i/>
          <w:color w:val="0000FF"/>
        </w:rPr>
      </w:pPr>
    </w:p>
    <w:p w14:paraId="6D3BD497" w14:textId="77777777" w:rsidR="0020214C" w:rsidRDefault="003F4C7F">
      <w:pPr>
        <w:numPr>
          <w:ilvl w:val="0"/>
          <w:numId w:val="7"/>
        </w:numPr>
        <w:jc w:val="both"/>
        <w:rPr>
          <w:i/>
          <w:color w:val="0000FF"/>
        </w:rPr>
      </w:pPr>
      <w:r>
        <w:rPr>
          <w:b/>
          <w:i/>
          <w:color w:val="0000FF"/>
          <w:u w:val="single"/>
        </w:rPr>
        <w:t>Long Market Basket:</w:t>
      </w:r>
    </w:p>
    <w:p w14:paraId="2B5788A9" w14:textId="77777777" w:rsidR="0020214C" w:rsidRDefault="003F4C7F">
      <w:pPr>
        <w:numPr>
          <w:ilvl w:val="1"/>
          <w:numId w:val="7"/>
        </w:numPr>
        <w:jc w:val="both"/>
        <w:rPr>
          <w:i/>
          <w:color w:val="0000FF"/>
        </w:rPr>
      </w:pPr>
      <w:r>
        <w:rPr>
          <w:b/>
          <w:i/>
          <w:color w:val="0000FF"/>
        </w:rPr>
        <w:t xml:space="preserve">long </w:t>
      </w:r>
      <w:hyperlink r:id="rId13">
        <w:r>
          <w:rPr>
            <w:b/>
            <w:i/>
            <w:color w:val="0000FF"/>
            <w:u w:val="single"/>
          </w:rPr>
          <w:t>UPRO</w:t>
        </w:r>
      </w:hyperlink>
      <w:r>
        <w:rPr>
          <w:i/>
          <w:color w:val="0000FF"/>
        </w:rPr>
        <w:t xml:space="preserve"> (</w:t>
      </w:r>
      <w:proofErr w:type="spellStart"/>
      <w:r>
        <w:rPr>
          <w:i/>
          <w:color w:val="0000FF"/>
        </w:rPr>
        <w:t>ProShares</w:t>
      </w:r>
      <w:proofErr w:type="spellEnd"/>
      <w:r>
        <w:rPr>
          <w:i/>
          <w:color w:val="0000FF"/>
        </w:rPr>
        <w:t xml:space="preserve"> </w:t>
      </w:r>
      <w:proofErr w:type="spellStart"/>
      <w:r>
        <w:rPr>
          <w:i/>
          <w:color w:val="0000FF"/>
        </w:rPr>
        <w:t>UltraPro</w:t>
      </w:r>
      <w:proofErr w:type="spellEnd"/>
      <w:r>
        <w:rPr>
          <w:i/>
          <w:color w:val="0000FF"/>
        </w:rPr>
        <w:t xml:space="preserve"> S&amp;P500, 3x leverage),</w:t>
      </w:r>
    </w:p>
    <w:p w14:paraId="58229322" w14:textId="77777777" w:rsidR="0020214C" w:rsidRDefault="003F4C7F">
      <w:pPr>
        <w:numPr>
          <w:ilvl w:val="1"/>
          <w:numId w:val="7"/>
        </w:numPr>
        <w:jc w:val="both"/>
        <w:rPr>
          <w:i/>
          <w:color w:val="0000FF"/>
        </w:rPr>
      </w:pPr>
      <w:r>
        <w:rPr>
          <w:b/>
          <w:i/>
          <w:color w:val="0000FF"/>
        </w:rPr>
        <w:t xml:space="preserve">long </w:t>
      </w:r>
      <w:hyperlink r:id="rId14">
        <w:r>
          <w:rPr>
            <w:b/>
            <w:i/>
            <w:color w:val="0000FF"/>
            <w:u w:val="single"/>
          </w:rPr>
          <w:t>TQQQ</w:t>
        </w:r>
      </w:hyperlink>
      <w:r>
        <w:rPr>
          <w:i/>
          <w:color w:val="0000FF"/>
        </w:rPr>
        <w:t xml:space="preserve"> (</w:t>
      </w:r>
      <w:proofErr w:type="spellStart"/>
      <w:r>
        <w:rPr>
          <w:i/>
          <w:color w:val="0000FF"/>
        </w:rPr>
        <w:t>ProShares</w:t>
      </w:r>
      <w:proofErr w:type="spellEnd"/>
      <w:r>
        <w:rPr>
          <w:i/>
          <w:color w:val="0000FF"/>
        </w:rPr>
        <w:t xml:space="preserve"> </w:t>
      </w:r>
      <w:proofErr w:type="spellStart"/>
      <w:r>
        <w:rPr>
          <w:i/>
          <w:color w:val="0000FF"/>
        </w:rPr>
        <w:t>UltraPro</w:t>
      </w:r>
      <w:proofErr w:type="spellEnd"/>
      <w:r>
        <w:rPr>
          <w:i/>
          <w:color w:val="0000FF"/>
        </w:rPr>
        <w:t xml:space="preserve"> QQQ, 3x leverage),</w:t>
      </w:r>
    </w:p>
    <w:p w14:paraId="41737417" w14:textId="77777777" w:rsidR="0020214C" w:rsidRDefault="003F4C7F">
      <w:pPr>
        <w:numPr>
          <w:ilvl w:val="1"/>
          <w:numId w:val="7"/>
        </w:numPr>
        <w:jc w:val="both"/>
        <w:rPr>
          <w:i/>
          <w:color w:val="0000FF"/>
        </w:rPr>
      </w:pPr>
      <w:r>
        <w:rPr>
          <w:b/>
          <w:i/>
          <w:color w:val="0000FF"/>
        </w:rPr>
        <w:t xml:space="preserve">long </w:t>
      </w:r>
      <w:hyperlink r:id="rId15">
        <w:r>
          <w:rPr>
            <w:b/>
            <w:i/>
            <w:color w:val="0000FF"/>
            <w:u w:val="single"/>
          </w:rPr>
          <w:t>FAS</w:t>
        </w:r>
      </w:hyperlink>
      <w:r>
        <w:rPr>
          <w:i/>
          <w:color w:val="0000FF"/>
        </w:rPr>
        <w:t xml:space="preserve"> (</w:t>
      </w:r>
      <w:proofErr w:type="spellStart"/>
      <w:r>
        <w:rPr>
          <w:i/>
          <w:color w:val="0000FF"/>
        </w:rPr>
        <w:t>Direxion</w:t>
      </w:r>
      <w:proofErr w:type="spellEnd"/>
      <w:r>
        <w:rPr>
          <w:i/>
          <w:color w:val="0000FF"/>
        </w:rPr>
        <w:t xml:space="preserve"> Daily Financial Bull 3X ETF);</w:t>
      </w:r>
    </w:p>
    <w:p w14:paraId="0539700C" w14:textId="77777777" w:rsidR="0020214C" w:rsidRDefault="003F4C7F">
      <w:pPr>
        <w:jc w:val="both"/>
        <w:rPr>
          <w:i/>
          <w:color w:val="0000FF"/>
        </w:rPr>
      </w:pPr>
      <w:r>
        <w:rPr>
          <w:i/>
          <w:color w:val="0000FF"/>
        </w:rPr>
        <w:t xml:space="preserve"> </w:t>
      </w:r>
    </w:p>
    <w:p w14:paraId="078C4019" w14:textId="77777777" w:rsidR="0020214C" w:rsidRDefault="003F4C7F">
      <w:pPr>
        <w:numPr>
          <w:ilvl w:val="0"/>
          <w:numId w:val="7"/>
        </w:numPr>
        <w:jc w:val="both"/>
        <w:rPr>
          <w:b/>
          <w:i/>
          <w:color w:val="0000FF"/>
        </w:rPr>
      </w:pPr>
      <w:r>
        <w:rPr>
          <w:b/>
          <w:i/>
          <w:color w:val="0000FF"/>
          <w:u w:val="single"/>
        </w:rPr>
        <w:t>SQ Hedge Basket:</w:t>
      </w:r>
    </w:p>
    <w:p w14:paraId="2A83BA5A" w14:textId="77777777" w:rsidR="0020214C" w:rsidRDefault="003F4C7F">
      <w:pPr>
        <w:numPr>
          <w:ilvl w:val="1"/>
          <w:numId w:val="7"/>
        </w:numPr>
        <w:jc w:val="both"/>
        <w:rPr>
          <w:i/>
          <w:color w:val="0000FF"/>
        </w:rPr>
      </w:pPr>
      <w:r>
        <w:rPr>
          <w:b/>
          <w:i/>
          <w:color w:val="0000FF"/>
        </w:rPr>
        <w:t xml:space="preserve">short </w:t>
      </w:r>
      <w:hyperlink r:id="rId16">
        <w:r>
          <w:rPr>
            <w:b/>
            <w:i/>
            <w:color w:val="0000FF"/>
            <w:u w:val="single"/>
          </w:rPr>
          <w:t>TMV</w:t>
        </w:r>
      </w:hyperlink>
      <w:r>
        <w:rPr>
          <w:i/>
          <w:color w:val="0000FF"/>
        </w:rPr>
        <w:t xml:space="preserve"> (</w:t>
      </w:r>
      <w:proofErr w:type="spellStart"/>
      <w:r>
        <w:rPr>
          <w:i/>
          <w:color w:val="0000FF"/>
        </w:rPr>
        <w:t>Direxion</w:t>
      </w:r>
      <w:proofErr w:type="spellEnd"/>
      <w:r>
        <w:rPr>
          <w:i/>
          <w:color w:val="0000FF"/>
        </w:rPr>
        <w:t xml:space="preserve"> Daily 20+ </w:t>
      </w:r>
      <w:proofErr w:type="spellStart"/>
      <w:r>
        <w:rPr>
          <w:i/>
          <w:color w:val="0000FF"/>
        </w:rPr>
        <w:t>Yr</w:t>
      </w:r>
      <w:proofErr w:type="spellEnd"/>
      <w:r>
        <w:rPr>
          <w:i/>
          <w:color w:val="0000FF"/>
        </w:rPr>
        <w:t xml:space="preserve"> </w:t>
      </w:r>
      <w:proofErr w:type="spellStart"/>
      <w:r>
        <w:rPr>
          <w:i/>
          <w:color w:val="0000FF"/>
        </w:rPr>
        <w:t>Trsy</w:t>
      </w:r>
      <w:proofErr w:type="spellEnd"/>
      <w:r>
        <w:rPr>
          <w:i/>
          <w:color w:val="0000FF"/>
        </w:rPr>
        <w:t xml:space="preserve"> Bear 3X ETF) - equivalent to long 3x TLT,</w:t>
      </w:r>
    </w:p>
    <w:p w14:paraId="1A90DC2C" w14:textId="77777777" w:rsidR="0020214C" w:rsidRDefault="003F4C7F">
      <w:pPr>
        <w:numPr>
          <w:ilvl w:val="1"/>
          <w:numId w:val="7"/>
        </w:numPr>
        <w:jc w:val="both"/>
        <w:rPr>
          <w:i/>
          <w:color w:val="0000FF"/>
        </w:rPr>
      </w:pPr>
      <w:r>
        <w:rPr>
          <w:b/>
          <w:i/>
          <w:color w:val="0000FF"/>
        </w:rPr>
        <w:t xml:space="preserve">short </w:t>
      </w:r>
      <w:hyperlink r:id="rId17">
        <w:r>
          <w:rPr>
            <w:b/>
            <w:i/>
            <w:color w:val="0000FF"/>
            <w:u w:val="single"/>
          </w:rPr>
          <w:t>UGAZ</w:t>
        </w:r>
      </w:hyperlink>
      <w:r>
        <w:rPr>
          <w:i/>
          <w:color w:val="0000FF"/>
        </w:rPr>
        <w:t xml:space="preserve"> (</w:t>
      </w:r>
      <w:proofErr w:type="spellStart"/>
      <w:r>
        <w:rPr>
          <w:i/>
          <w:color w:val="0000FF"/>
        </w:rPr>
        <w:t>VelocityShares</w:t>
      </w:r>
      <w:proofErr w:type="spellEnd"/>
      <w:r>
        <w:rPr>
          <w:i/>
          <w:color w:val="0000FF"/>
        </w:rPr>
        <w:t xml:space="preserve"> 3x Long Natural Gas ETN) - equivalent to short 3x UNG,</w:t>
      </w:r>
    </w:p>
    <w:p w14:paraId="425B56C8" w14:textId="77777777" w:rsidR="0020214C" w:rsidRDefault="003F4C7F">
      <w:pPr>
        <w:numPr>
          <w:ilvl w:val="1"/>
          <w:numId w:val="7"/>
        </w:numPr>
        <w:jc w:val="both"/>
        <w:rPr>
          <w:i/>
          <w:color w:val="0000FF"/>
        </w:rPr>
      </w:pPr>
      <w:r>
        <w:rPr>
          <w:b/>
          <w:i/>
          <w:color w:val="0000FF"/>
        </w:rPr>
        <w:t xml:space="preserve">short </w:t>
      </w:r>
      <w:hyperlink r:id="rId18">
        <w:r>
          <w:rPr>
            <w:b/>
            <w:i/>
            <w:color w:val="0000FF"/>
            <w:u w:val="single"/>
          </w:rPr>
          <w:t>UWT</w:t>
        </w:r>
      </w:hyperlink>
      <w:r>
        <w:rPr>
          <w:i/>
          <w:color w:val="0000FF"/>
        </w:rPr>
        <w:t xml:space="preserve"> (</w:t>
      </w:r>
      <w:proofErr w:type="spellStart"/>
      <w:r>
        <w:rPr>
          <w:i/>
          <w:color w:val="0000FF"/>
        </w:rPr>
        <w:t>VelocityShares</w:t>
      </w:r>
      <w:proofErr w:type="spellEnd"/>
      <w:r>
        <w:rPr>
          <w:i/>
          <w:color w:val="0000FF"/>
        </w:rPr>
        <w:t xml:space="preserve"> 3x Long Crude Oil ETN) - equivalent to short 3</w:t>
      </w:r>
      <w:r>
        <w:rPr>
          <w:i/>
          <w:color w:val="0000FF"/>
        </w:rPr>
        <w:t>x USO,</w:t>
      </w:r>
    </w:p>
    <w:p w14:paraId="451D057B" w14:textId="77777777" w:rsidR="0020214C" w:rsidRDefault="003F4C7F">
      <w:pPr>
        <w:numPr>
          <w:ilvl w:val="1"/>
          <w:numId w:val="7"/>
        </w:numPr>
        <w:jc w:val="both"/>
        <w:rPr>
          <w:i/>
          <w:color w:val="0000FF"/>
        </w:rPr>
      </w:pPr>
      <w:r>
        <w:rPr>
          <w:b/>
          <w:i/>
          <w:color w:val="0000FF"/>
        </w:rPr>
        <w:t xml:space="preserve">long </w:t>
      </w:r>
      <w:hyperlink r:id="rId19">
        <w:r>
          <w:rPr>
            <w:b/>
            <w:i/>
            <w:color w:val="0000FF"/>
            <w:u w:val="single"/>
          </w:rPr>
          <w:t>UGLD</w:t>
        </w:r>
      </w:hyperlink>
      <w:r>
        <w:rPr>
          <w:i/>
          <w:color w:val="0000FF"/>
        </w:rPr>
        <w:t xml:space="preserve"> (</w:t>
      </w:r>
      <w:proofErr w:type="spellStart"/>
      <w:r>
        <w:rPr>
          <w:i/>
          <w:color w:val="0000FF"/>
        </w:rPr>
        <w:t>VelocityShares</w:t>
      </w:r>
      <w:proofErr w:type="spellEnd"/>
      <w:r>
        <w:rPr>
          <w:i/>
          <w:color w:val="0000FF"/>
        </w:rPr>
        <w:t xml:space="preserve"> 3x Long Gold ETN) - equivalent to long 3x GLD.</w:t>
      </w:r>
    </w:p>
    <w:p w14:paraId="05681CD3" w14:textId="77777777" w:rsidR="0020214C" w:rsidRDefault="0020214C">
      <w:pPr>
        <w:jc w:val="both"/>
        <w:rPr>
          <w:i/>
          <w:color w:val="0000FF"/>
        </w:rPr>
      </w:pPr>
    </w:p>
    <w:p w14:paraId="062675AA" w14:textId="77777777" w:rsidR="0020214C" w:rsidRDefault="003F4C7F">
      <w:pPr>
        <w:jc w:val="both"/>
        <w:rPr>
          <w:i/>
          <w:color w:val="0000FF"/>
        </w:rPr>
      </w:pPr>
      <w:r>
        <w:rPr>
          <w:i/>
          <w:color w:val="0000FF"/>
        </w:rPr>
        <w:t xml:space="preserve">It means, that on </w:t>
      </w:r>
      <w:r>
        <w:rPr>
          <w:b/>
          <w:i/>
          <w:color w:val="0000FF"/>
        </w:rPr>
        <w:t>bullish days a mixture of these baskets</w:t>
      </w:r>
      <w:r>
        <w:rPr>
          <w:i/>
          <w:color w:val="0000FF"/>
        </w:rPr>
        <w:t xml:space="preserve"> </w:t>
      </w:r>
      <w:proofErr w:type="gramStart"/>
      <w:r>
        <w:rPr>
          <w:i/>
          <w:color w:val="0000FF"/>
        </w:rPr>
        <w:t>are</w:t>
      </w:r>
      <w:proofErr w:type="gramEnd"/>
      <w:r>
        <w:rPr>
          <w:i/>
          <w:color w:val="0000FF"/>
        </w:rPr>
        <w:t xml:space="preserve"> played: </w:t>
      </w:r>
      <w:r>
        <w:rPr>
          <w:b/>
          <w:i/>
          <w:color w:val="0000FF"/>
        </w:rPr>
        <w:t>either only Short Volatility Basket or Sho</w:t>
      </w:r>
      <w:r>
        <w:rPr>
          <w:b/>
          <w:i/>
          <w:color w:val="0000FF"/>
        </w:rPr>
        <w:t>rt Volatility Basket + Long Market Basket is played with SQ Hedge Basket</w:t>
      </w:r>
      <w:r>
        <w:rPr>
          <w:i/>
          <w:color w:val="0000FF"/>
        </w:rPr>
        <w:t xml:space="preserve"> (hedges are always played on bullish days). </w:t>
      </w:r>
      <w:r>
        <w:rPr>
          <w:b/>
          <w:i/>
          <w:color w:val="0000FF"/>
        </w:rPr>
        <w:t>Optimal weights and leverages</w:t>
      </w:r>
      <w:r>
        <w:rPr>
          <w:i/>
          <w:color w:val="0000FF"/>
        </w:rPr>
        <w:t xml:space="preserve"> of these baskets will be presented in </w:t>
      </w:r>
      <w:hyperlink r:id="rId20" w:anchor="heading=h.2q1z2wt0g5bn">
        <w:r>
          <w:rPr>
            <w:i/>
            <w:color w:val="0000FF"/>
            <w:u w:val="single"/>
          </w:rPr>
          <w:t>The Renewed Uber Strategy</w:t>
        </w:r>
      </w:hyperlink>
      <w:r>
        <w:rPr>
          <w:i/>
          <w:color w:val="0000FF"/>
        </w:rPr>
        <w:t xml:space="preserve"> chapter.</w:t>
      </w:r>
    </w:p>
    <w:p w14:paraId="0C7CB847" w14:textId="77777777" w:rsidR="0020214C" w:rsidRDefault="0020214C">
      <w:pPr>
        <w:jc w:val="both"/>
        <w:rPr>
          <w:i/>
          <w:color w:val="0000FF"/>
        </w:rPr>
      </w:pPr>
    </w:p>
    <w:p w14:paraId="27B63424" w14:textId="77777777" w:rsidR="0020214C" w:rsidRDefault="003F4C7F">
      <w:pPr>
        <w:jc w:val="both"/>
        <w:rPr>
          <w:i/>
          <w:color w:val="0000FF"/>
        </w:rPr>
      </w:pPr>
      <w:r>
        <w:rPr>
          <w:i/>
          <w:color w:val="0000FF"/>
        </w:rPr>
        <w:t>On</w:t>
      </w:r>
      <w:r>
        <w:rPr>
          <w:b/>
          <w:i/>
          <w:color w:val="0000FF"/>
        </w:rPr>
        <w:t xml:space="preserve"> bearish days</w:t>
      </w:r>
      <w:r>
        <w:rPr>
          <w:i/>
          <w:color w:val="0000FF"/>
        </w:rPr>
        <w:t xml:space="preserve">, we play only </w:t>
      </w:r>
      <w:r>
        <w:rPr>
          <w:b/>
          <w:i/>
          <w:color w:val="0000FF"/>
        </w:rPr>
        <w:t>long VXX with 100% leverage</w:t>
      </w:r>
      <w:r>
        <w:rPr>
          <w:i/>
          <w:color w:val="0000FF"/>
        </w:rPr>
        <w:t>. On these days, this long VXX position can be considered as a hedge of our whole account.</w:t>
      </w:r>
    </w:p>
    <w:p w14:paraId="13FB1356" w14:textId="77777777" w:rsidR="0020214C" w:rsidRDefault="0020214C">
      <w:pPr>
        <w:jc w:val="both"/>
        <w:rPr>
          <w:i/>
          <w:color w:val="0000FF"/>
        </w:rPr>
      </w:pPr>
    </w:p>
    <w:p w14:paraId="22217DF2" w14:textId="77777777" w:rsidR="0020214C" w:rsidRDefault="003F4C7F">
      <w:pPr>
        <w:jc w:val="both"/>
        <w:rPr>
          <w:color w:val="38761D"/>
        </w:rPr>
      </w:pPr>
      <w:r>
        <w:rPr>
          <w:i/>
          <w:color w:val="0000FF"/>
        </w:rPr>
        <w:t xml:space="preserve">In this study, </w:t>
      </w:r>
      <w:r>
        <w:rPr>
          <w:b/>
          <w:i/>
          <w:color w:val="0000FF"/>
        </w:rPr>
        <w:t xml:space="preserve">winter </w:t>
      </w:r>
      <w:r>
        <w:rPr>
          <w:i/>
          <w:color w:val="0000FF"/>
        </w:rPr>
        <w:t>(26</w:t>
      </w:r>
      <w:r>
        <w:rPr>
          <w:i/>
          <w:color w:val="0000FF"/>
          <w:vertAlign w:val="superscript"/>
        </w:rPr>
        <w:t>th</w:t>
      </w:r>
      <w:r>
        <w:rPr>
          <w:i/>
          <w:color w:val="0000FF"/>
        </w:rPr>
        <w:t xml:space="preserve"> October - 1</w:t>
      </w:r>
      <w:r>
        <w:rPr>
          <w:i/>
          <w:color w:val="0000FF"/>
          <w:vertAlign w:val="superscript"/>
        </w:rPr>
        <w:t>st</w:t>
      </w:r>
      <w:r>
        <w:rPr>
          <w:i/>
          <w:color w:val="0000FF"/>
        </w:rPr>
        <w:t xml:space="preserve"> May) and </w:t>
      </w:r>
      <w:r>
        <w:rPr>
          <w:b/>
          <w:i/>
          <w:color w:val="0000FF"/>
        </w:rPr>
        <w:t>summer</w:t>
      </w:r>
      <w:r>
        <w:rPr>
          <w:i/>
          <w:color w:val="0000FF"/>
        </w:rPr>
        <w:t xml:space="preserve"> (2</w:t>
      </w:r>
      <w:r>
        <w:rPr>
          <w:i/>
          <w:color w:val="0000FF"/>
          <w:vertAlign w:val="superscript"/>
        </w:rPr>
        <w:t>nd</w:t>
      </w:r>
      <w:r>
        <w:rPr>
          <w:i/>
          <w:color w:val="0000FF"/>
        </w:rPr>
        <w:t xml:space="preserve"> May - 25</w:t>
      </w:r>
      <w:r>
        <w:rPr>
          <w:i/>
          <w:color w:val="0000FF"/>
          <w:vertAlign w:val="superscript"/>
        </w:rPr>
        <w:t>th</w:t>
      </w:r>
      <w:r>
        <w:rPr>
          <w:i/>
          <w:color w:val="0000FF"/>
        </w:rPr>
        <w:t xml:space="preserve"> October) seasons are distinguished in case of sub-strategies (except FOMC and Holiday).” </w:t>
      </w:r>
    </w:p>
    <w:p w14:paraId="79E96D20" w14:textId="77777777" w:rsidR="0020214C" w:rsidRDefault="0020214C">
      <w:pPr>
        <w:jc w:val="both"/>
        <w:rPr>
          <w:i/>
          <w:color w:val="38761D"/>
          <w:sz w:val="24"/>
          <w:szCs w:val="24"/>
        </w:rPr>
      </w:pPr>
    </w:p>
    <w:p w14:paraId="0B0C5805" w14:textId="77777777" w:rsidR="0020214C" w:rsidRDefault="0020214C">
      <w:pPr>
        <w:jc w:val="both"/>
        <w:rPr>
          <w:i/>
          <w:color w:val="38761D"/>
          <w:sz w:val="24"/>
          <w:szCs w:val="24"/>
        </w:rPr>
      </w:pPr>
    </w:p>
    <w:p w14:paraId="739960CD" w14:textId="77777777" w:rsidR="0020214C" w:rsidRDefault="003F4C7F">
      <w:pPr>
        <w:jc w:val="both"/>
        <w:rPr>
          <w:i/>
          <w:color w:val="38761D"/>
          <w:sz w:val="24"/>
          <w:szCs w:val="24"/>
        </w:rPr>
      </w:pPr>
      <w:r>
        <w:rPr>
          <w:i/>
          <w:color w:val="38761D"/>
          <w:sz w:val="24"/>
          <w:szCs w:val="24"/>
        </w:rPr>
        <w:t>Weights of the Trading Instruments of The Renewed Uber Strategy</w:t>
      </w:r>
    </w:p>
    <w:p w14:paraId="5E238006" w14:textId="77777777" w:rsidR="0020214C" w:rsidRDefault="0020214C">
      <w:pPr>
        <w:jc w:val="both"/>
        <w:rPr>
          <w:i/>
          <w:color w:val="0000FF"/>
        </w:rPr>
      </w:pPr>
    </w:p>
    <w:p w14:paraId="12F34138" w14:textId="77777777" w:rsidR="0020214C" w:rsidRDefault="003F4C7F">
      <w:pPr>
        <w:jc w:val="both"/>
        <w:rPr>
          <w:i/>
          <w:color w:val="0000FF"/>
        </w:rPr>
      </w:pPr>
      <w:r>
        <w:rPr>
          <w:i/>
          <w:color w:val="0000FF"/>
        </w:rPr>
        <w:t xml:space="preserve">“Using the </w:t>
      </w:r>
      <w:r>
        <w:rPr>
          <w:b/>
          <w:i/>
          <w:color w:val="0000FF"/>
        </w:rPr>
        <w:t>bullish and be</w:t>
      </w:r>
      <w:r>
        <w:rPr>
          <w:b/>
          <w:i/>
          <w:color w:val="0000FF"/>
        </w:rPr>
        <w:t>arish signs and the hierarchy of sub-strategies from previous chapters</w:t>
      </w:r>
      <w:r>
        <w:rPr>
          <w:i/>
          <w:color w:val="0000FF"/>
        </w:rPr>
        <w:t xml:space="preserve">, the </w:t>
      </w:r>
      <w:r>
        <w:rPr>
          <w:b/>
          <w:i/>
          <w:color w:val="0000FF"/>
        </w:rPr>
        <w:t>position distribution</w:t>
      </w:r>
      <w:r>
        <w:rPr>
          <w:i/>
          <w:color w:val="0000FF"/>
        </w:rPr>
        <w:t xml:space="preserve"> of the Renewed Uber Strategy can be found in Table 1. As it can be seen, the strategy is </w:t>
      </w:r>
      <w:r>
        <w:rPr>
          <w:b/>
          <w:i/>
          <w:color w:val="0000FF"/>
        </w:rPr>
        <w:t>in cash in the quarter of the trading days.</w:t>
      </w:r>
      <w:r>
        <w:rPr>
          <w:i/>
          <w:color w:val="0000FF"/>
        </w:rPr>
        <w:t xml:space="preserve"> </w:t>
      </w:r>
      <w:r>
        <w:rPr>
          <w:b/>
          <w:i/>
          <w:color w:val="0000FF"/>
        </w:rPr>
        <w:t>In the fifth of days, bea</w:t>
      </w:r>
      <w:r>
        <w:rPr>
          <w:b/>
          <w:i/>
          <w:color w:val="0000FF"/>
        </w:rPr>
        <w:t>rish</w:t>
      </w:r>
      <w:r>
        <w:rPr>
          <w:i/>
          <w:color w:val="0000FF"/>
        </w:rPr>
        <w:t xml:space="preserve"> bet (</w:t>
      </w:r>
      <w:proofErr w:type="spellStart"/>
      <w:r>
        <w:rPr>
          <w:i/>
          <w:color w:val="0000FF"/>
        </w:rPr>
        <w:t>ie</w:t>
      </w:r>
      <w:proofErr w:type="spellEnd"/>
      <w:r>
        <w:rPr>
          <w:i/>
          <w:color w:val="0000FF"/>
        </w:rPr>
        <w:t xml:space="preserve">. long VXX) is recommended. The </w:t>
      </w:r>
      <w:r>
        <w:rPr>
          <w:b/>
          <w:i/>
          <w:color w:val="0000FF"/>
        </w:rPr>
        <w:t>almost 54% (39.4% + 14.45%) bullish proposal</w:t>
      </w:r>
      <w:r>
        <w:rPr>
          <w:i/>
          <w:color w:val="0000FF"/>
        </w:rPr>
        <w:t xml:space="preserve"> may seem like too much, but VXX is moving down in about 58% of days, while SPY climbed higher in about 55% of days in the examined period (2004-03-26 - 2018-03-23).</w:t>
      </w:r>
    </w:p>
    <w:p w14:paraId="1919CF6C" w14:textId="77777777" w:rsidR="0020214C" w:rsidRDefault="003F4C7F">
      <w:pPr>
        <w:jc w:val="both"/>
      </w:pPr>
      <w:r>
        <w:t xml:space="preserve"> </w:t>
      </w:r>
    </w:p>
    <w:p w14:paraId="0E37200E" w14:textId="77777777" w:rsidR="0020214C" w:rsidRDefault="003F4C7F">
      <w:pPr>
        <w:spacing w:line="273" w:lineRule="auto"/>
        <w:jc w:val="center"/>
        <w:rPr>
          <w:i/>
          <w:color w:val="0000FF"/>
        </w:rPr>
      </w:pPr>
      <w:r>
        <w:rPr>
          <w:i/>
          <w:color w:val="0000FF"/>
          <w:sz w:val="18"/>
          <w:szCs w:val="18"/>
        </w:rPr>
        <w:t>Table 1: Position distribution of the Renewed Uber Strategy</w:t>
      </w:r>
    </w:p>
    <w:p w14:paraId="73D566F0" w14:textId="77777777" w:rsidR="0020214C" w:rsidRDefault="003F4C7F">
      <w:pPr>
        <w:jc w:val="center"/>
      </w:pPr>
      <w:r>
        <w:rPr>
          <w:noProof/>
        </w:rPr>
        <w:drawing>
          <wp:inline distT="114300" distB="114300" distL="114300" distR="114300" wp14:anchorId="016615E7" wp14:editId="4462F671">
            <wp:extent cx="3114675" cy="1619250"/>
            <wp:effectExtent l="0" t="0" r="0" b="0"/>
            <wp:docPr id="5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1"/>
                    <a:srcRect/>
                    <a:stretch>
                      <a:fillRect/>
                    </a:stretch>
                  </pic:blipFill>
                  <pic:spPr>
                    <a:xfrm>
                      <a:off x="0" y="0"/>
                      <a:ext cx="3114675" cy="1619250"/>
                    </a:xfrm>
                    <a:prstGeom prst="rect">
                      <a:avLst/>
                    </a:prstGeom>
                    <a:ln/>
                  </pic:spPr>
                </pic:pic>
              </a:graphicData>
            </a:graphic>
          </wp:inline>
        </w:drawing>
      </w:r>
    </w:p>
    <w:p w14:paraId="5CDB0BAF" w14:textId="77777777" w:rsidR="0020214C" w:rsidRDefault="003F4C7F">
      <w:pPr>
        <w:jc w:val="both"/>
        <w:rPr>
          <w:i/>
          <w:color w:val="0000FF"/>
        </w:rPr>
      </w:pPr>
      <w:r>
        <w:rPr>
          <w:i/>
          <w:color w:val="0000FF"/>
        </w:rPr>
        <w:t xml:space="preserve">Using the </w:t>
      </w:r>
      <w:r>
        <w:rPr>
          <w:b/>
          <w:i/>
          <w:color w:val="0000FF"/>
        </w:rPr>
        <w:t>‘magical’ 60%/40% stock-bond weight rule</w:t>
      </w:r>
      <w:r>
        <w:rPr>
          <w:i/>
          <w:color w:val="0000FF"/>
        </w:rPr>
        <w:t xml:space="preserve">, the following trading rules were defined for the </w:t>
      </w:r>
      <w:r>
        <w:rPr>
          <w:b/>
          <w:i/>
          <w:color w:val="0000FF"/>
        </w:rPr>
        <w:t>Renewed Uber Strategy</w:t>
      </w:r>
      <w:r>
        <w:rPr>
          <w:i/>
          <w:color w:val="0000FF"/>
        </w:rPr>
        <w:t>:</w:t>
      </w:r>
    </w:p>
    <w:p w14:paraId="5A5C1436" w14:textId="77777777" w:rsidR="0020214C" w:rsidRDefault="003F4C7F">
      <w:pPr>
        <w:numPr>
          <w:ilvl w:val="0"/>
          <w:numId w:val="8"/>
        </w:numPr>
        <w:jc w:val="both"/>
        <w:rPr>
          <w:b/>
          <w:i/>
          <w:color w:val="0000FF"/>
        </w:rPr>
      </w:pPr>
      <w:r>
        <w:rPr>
          <w:b/>
          <w:i/>
          <w:color w:val="0000FF"/>
        </w:rPr>
        <w:lastRenderedPageBreak/>
        <w:t>On bearish days, go long VXX with 100% of PV;</w:t>
      </w:r>
    </w:p>
    <w:p w14:paraId="19803B14" w14:textId="77777777" w:rsidR="0020214C" w:rsidRDefault="003F4C7F">
      <w:pPr>
        <w:numPr>
          <w:ilvl w:val="0"/>
          <w:numId w:val="8"/>
        </w:numPr>
        <w:jc w:val="both"/>
        <w:rPr>
          <w:b/>
          <w:i/>
          <w:color w:val="0000FF"/>
        </w:rPr>
      </w:pPr>
      <w:r>
        <w:rPr>
          <w:b/>
          <w:i/>
          <w:color w:val="0000FF"/>
        </w:rPr>
        <w:t>On bullish days, when</w:t>
      </w:r>
    </w:p>
    <w:p w14:paraId="67673179" w14:textId="77777777" w:rsidR="0020214C" w:rsidRDefault="003F4C7F">
      <w:pPr>
        <w:numPr>
          <w:ilvl w:val="1"/>
          <w:numId w:val="8"/>
        </w:numPr>
        <w:jc w:val="both"/>
        <w:rPr>
          <w:b/>
          <w:i/>
          <w:color w:val="0000FF"/>
        </w:rPr>
      </w:pPr>
      <w:r>
        <w:rPr>
          <w:b/>
          <w:i/>
          <w:color w:val="0000FF"/>
        </w:rPr>
        <w:t>both Short Volatility and Long Market Baskets are played: 30% of PV for Short Volatility Basket, 30% for Long Market Basket and 40% for Hedges;</w:t>
      </w:r>
    </w:p>
    <w:p w14:paraId="7CE1EC89" w14:textId="77777777" w:rsidR="0020214C" w:rsidRDefault="003F4C7F">
      <w:pPr>
        <w:numPr>
          <w:ilvl w:val="1"/>
          <w:numId w:val="8"/>
        </w:numPr>
        <w:jc w:val="both"/>
        <w:rPr>
          <w:b/>
          <w:i/>
          <w:color w:val="0000FF"/>
        </w:rPr>
      </w:pPr>
      <w:r>
        <w:rPr>
          <w:b/>
          <w:i/>
          <w:color w:val="0000FF"/>
        </w:rPr>
        <w:t xml:space="preserve">only Short Volatility Basket is played: 36% </w:t>
      </w:r>
      <w:r>
        <w:rPr>
          <w:b/>
          <w:i/>
          <w:color w:val="0000FF"/>
        </w:rPr>
        <w:t>of PV for this basket and 24% for Hedges.</w:t>
      </w:r>
    </w:p>
    <w:p w14:paraId="023C2E19" w14:textId="77777777" w:rsidR="0020214C" w:rsidRDefault="0020214C">
      <w:pPr>
        <w:jc w:val="both"/>
        <w:rPr>
          <w:i/>
          <w:color w:val="0000FF"/>
        </w:rPr>
      </w:pPr>
    </w:p>
    <w:p w14:paraId="59C11EF7" w14:textId="77777777" w:rsidR="0020214C" w:rsidRDefault="003F4C7F">
      <w:pPr>
        <w:jc w:val="both"/>
        <w:rPr>
          <w:i/>
          <w:color w:val="0000FF"/>
        </w:rPr>
      </w:pPr>
      <w:r>
        <w:rPr>
          <w:i/>
          <w:color w:val="0000FF"/>
        </w:rPr>
        <w:t xml:space="preserve">It is worth noting, that </w:t>
      </w:r>
      <w:r>
        <w:rPr>
          <w:b/>
          <w:i/>
          <w:color w:val="0000FF"/>
        </w:rPr>
        <w:t>these allocations are not optimised</w:t>
      </w:r>
      <w:r>
        <w:rPr>
          <w:i/>
          <w:color w:val="0000FF"/>
        </w:rPr>
        <w:t xml:space="preserve"> as we would like avoiding additional overfitting.</w:t>
      </w:r>
    </w:p>
    <w:p w14:paraId="60CDD82D" w14:textId="77777777" w:rsidR="0020214C" w:rsidRDefault="0020214C">
      <w:pPr>
        <w:jc w:val="both"/>
        <w:rPr>
          <w:i/>
          <w:color w:val="0000FF"/>
        </w:rPr>
      </w:pPr>
    </w:p>
    <w:p w14:paraId="53EB1D26" w14:textId="77777777" w:rsidR="0020214C" w:rsidRDefault="003F4C7F">
      <w:pPr>
        <w:jc w:val="both"/>
        <w:rPr>
          <w:i/>
          <w:color w:val="0000FF"/>
        </w:rPr>
      </w:pPr>
      <w:r>
        <w:rPr>
          <w:i/>
          <w:color w:val="0000FF"/>
        </w:rPr>
        <w:t xml:space="preserve">Now, the next question is </w:t>
      </w:r>
      <w:r>
        <w:rPr>
          <w:b/>
          <w:i/>
          <w:color w:val="0000FF"/>
        </w:rPr>
        <w:t>how to split</w:t>
      </w:r>
      <w:r>
        <w:rPr>
          <w:i/>
          <w:color w:val="0000FF"/>
        </w:rPr>
        <w:t xml:space="preserve"> the 30%-30%-40% weights within the basket. We want to avoid ov</w:t>
      </w:r>
      <w:r>
        <w:rPr>
          <w:i/>
          <w:color w:val="0000FF"/>
        </w:rPr>
        <w:t>er-optimization again, thus</w:t>
      </w:r>
      <w:r>
        <w:rPr>
          <w:b/>
          <w:i/>
          <w:color w:val="0000FF"/>
        </w:rPr>
        <w:t xml:space="preserve"> weights within baskets are calculated in the proportion of the Sharpe ratios</w:t>
      </w:r>
      <w:r>
        <w:rPr>
          <w:i/>
          <w:color w:val="0000FF"/>
        </w:rPr>
        <w:t xml:space="preserve"> (in the past 14 years) of the ETPs. These calculated and rounded used weights can be seen in Table 2.”</w:t>
      </w:r>
    </w:p>
    <w:p w14:paraId="7DCA1CBC" w14:textId="77777777" w:rsidR="0020214C" w:rsidRDefault="0020214C">
      <w:pPr>
        <w:jc w:val="both"/>
      </w:pPr>
    </w:p>
    <w:p w14:paraId="4DBD41A5" w14:textId="77777777" w:rsidR="0020214C" w:rsidRDefault="003F4C7F">
      <w:pPr>
        <w:spacing w:line="273" w:lineRule="auto"/>
        <w:jc w:val="center"/>
        <w:rPr>
          <w:i/>
          <w:color w:val="0000FF"/>
        </w:rPr>
      </w:pPr>
      <w:r>
        <w:rPr>
          <w:i/>
          <w:color w:val="0000FF"/>
          <w:sz w:val="18"/>
          <w:szCs w:val="18"/>
        </w:rPr>
        <w:t>Table 2: Calculated and used weights of ETPs on Bullish days (Bullish SQ Basket)</w:t>
      </w:r>
    </w:p>
    <w:p w14:paraId="708C3FC3" w14:textId="77777777" w:rsidR="0020214C" w:rsidRDefault="003F4C7F">
      <w:pPr>
        <w:jc w:val="both"/>
      </w:pPr>
      <w:r>
        <w:rPr>
          <w:noProof/>
        </w:rPr>
        <w:drawing>
          <wp:inline distT="114300" distB="114300" distL="114300" distR="114300" wp14:anchorId="23951762" wp14:editId="29AED0BC">
            <wp:extent cx="7052400" cy="1397000"/>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7052400" cy="1397000"/>
                    </a:xfrm>
                    <a:prstGeom prst="rect">
                      <a:avLst/>
                    </a:prstGeom>
                    <a:ln/>
                  </pic:spPr>
                </pic:pic>
              </a:graphicData>
            </a:graphic>
          </wp:inline>
        </w:drawing>
      </w:r>
    </w:p>
    <w:p w14:paraId="4F772076" w14:textId="77777777" w:rsidR="0020214C" w:rsidRDefault="0020214C">
      <w:pPr>
        <w:spacing w:after="60"/>
        <w:jc w:val="center"/>
        <w:rPr>
          <w:i/>
          <w:color w:val="0000FF"/>
        </w:rPr>
      </w:pPr>
    </w:p>
    <w:p w14:paraId="28253C30" w14:textId="77777777" w:rsidR="0020214C" w:rsidRDefault="003F4C7F">
      <w:pPr>
        <w:pStyle w:val="Heading2"/>
        <w:jc w:val="both"/>
        <w:rPr>
          <w:rFonts w:ascii="Arial" w:eastAsia="Arial" w:hAnsi="Arial" w:cs="Arial"/>
          <w:color w:val="FF0000"/>
          <w:sz w:val="28"/>
          <w:szCs w:val="28"/>
        </w:rPr>
      </w:pPr>
      <w:bookmarkStart w:id="4" w:name="_2cbofecw3bg2" w:colFirst="0" w:colLast="0"/>
      <w:bookmarkEnd w:id="4"/>
      <w:r>
        <w:rPr>
          <w:rFonts w:ascii="Arial" w:eastAsia="Arial" w:hAnsi="Arial" w:cs="Arial"/>
          <w:color w:val="FF0000"/>
          <w:sz w:val="28"/>
          <w:szCs w:val="28"/>
        </w:rPr>
        <w:t>Real Life Performance of The Renewed Uber Strategy (2018-05-14 – 20</w:t>
      </w:r>
      <w:r>
        <w:rPr>
          <w:rFonts w:ascii="Arial" w:eastAsia="Arial" w:hAnsi="Arial" w:cs="Arial"/>
          <w:color w:val="FF0000"/>
          <w:sz w:val="28"/>
          <w:szCs w:val="28"/>
        </w:rPr>
        <w:t>19-05-24)</w:t>
      </w:r>
    </w:p>
    <w:p w14:paraId="3782D7CD" w14:textId="77777777" w:rsidR="0020214C" w:rsidRDefault="0020214C">
      <w:pPr>
        <w:jc w:val="both"/>
        <w:rPr>
          <w:i/>
          <w:color w:val="0000FF"/>
        </w:rPr>
      </w:pPr>
    </w:p>
    <w:p w14:paraId="319DAF90" w14:textId="77777777" w:rsidR="0020214C" w:rsidRDefault="003F4C7F">
      <w:pPr>
        <w:jc w:val="both"/>
      </w:pPr>
      <w:r>
        <w:t xml:space="preserve">Based on the above cited study, </w:t>
      </w:r>
      <w:r>
        <w:rPr>
          <w:i/>
        </w:rPr>
        <w:t>‘</w:t>
      </w:r>
      <w:r>
        <w:rPr>
          <w:b/>
          <w:i/>
        </w:rPr>
        <w:t>The Renewed Uber Strategy’</w:t>
      </w:r>
      <w:r>
        <w:rPr>
          <w:b/>
        </w:rPr>
        <w:t xml:space="preserve"> was started playing in real life with $500K on 2018-05-14</w:t>
      </w:r>
      <w:r>
        <w:t xml:space="preserve">. Nevertheless, </w:t>
      </w:r>
      <w:r>
        <w:rPr>
          <w:b/>
        </w:rPr>
        <w:t>some modifications and discretionary decisions</w:t>
      </w:r>
      <w:r>
        <w:t xml:space="preserve"> have been influencing the strategy since the beginning. These can</w:t>
      </w:r>
      <w:r>
        <w:t xml:space="preserve"> be found in </w:t>
      </w:r>
      <w:hyperlink r:id="rId23">
        <w:r>
          <w:rPr>
            <w:color w:val="1155CC"/>
            <w:u w:val="single"/>
          </w:rPr>
          <w:t>this document</w:t>
        </w:r>
      </w:hyperlink>
      <w:r>
        <w:t>:</w:t>
      </w:r>
    </w:p>
    <w:p w14:paraId="0964E3DC" w14:textId="77777777" w:rsidR="0020214C" w:rsidRDefault="0020214C">
      <w:pPr>
        <w:jc w:val="both"/>
      </w:pPr>
    </w:p>
    <w:p w14:paraId="7E861967" w14:textId="77777777" w:rsidR="0020214C" w:rsidRDefault="003F4C7F">
      <w:pPr>
        <w:jc w:val="both"/>
        <w:rPr>
          <w:b/>
          <w:i/>
          <w:color w:val="0000FF"/>
        </w:rPr>
      </w:pPr>
      <w:r>
        <w:rPr>
          <w:b/>
          <w:i/>
          <w:color w:val="0000FF"/>
        </w:rPr>
        <w:t xml:space="preserve">“Remark (2018-05-14): New Uber Strategy portfolio is opened with $500K based on </w:t>
      </w:r>
      <w:hyperlink r:id="rId24">
        <w:r>
          <w:rPr>
            <w:b/>
            <w:i/>
            <w:color w:val="0000FF"/>
            <w:u w:val="single"/>
          </w:rPr>
          <w:t>this study</w:t>
        </w:r>
      </w:hyperlink>
      <w:r>
        <w:rPr>
          <w:b/>
          <w:i/>
          <w:color w:val="0000FF"/>
        </w:rPr>
        <w:t>. At first, trade with halved leverage (50%) for a while.</w:t>
      </w:r>
    </w:p>
    <w:p w14:paraId="7989843E" w14:textId="77777777" w:rsidR="0020214C" w:rsidRDefault="003F4C7F">
      <w:pPr>
        <w:jc w:val="both"/>
        <w:rPr>
          <w:b/>
          <w:i/>
          <w:color w:val="0000FF"/>
        </w:rPr>
      </w:pPr>
      <w:r>
        <w:rPr>
          <w:b/>
          <w:i/>
          <w:color w:val="0000FF"/>
        </w:rPr>
        <w:t>Remark (2018-05-18): Hedges (UGLD, TMV, UGAZ, UWT) are removed from strategy after discretionary decisi</w:t>
      </w:r>
      <w:r>
        <w:rPr>
          <w:b/>
          <w:i/>
          <w:color w:val="0000FF"/>
        </w:rPr>
        <w:t xml:space="preserve">on. </w:t>
      </w:r>
    </w:p>
    <w:p w14:paraId="2BA33A3B" w14:textId="77777777" w:rsidR="0020214C" w:rsidRDefault="003F4C7F">
      <w:pPr>
        <w:numPr>
          <w:ilvl w:val="0"/>
          <w:numId w:val="4"/>
        </w:numPr>
        <w:jc w:val="both"/>
        <w:rPr>
          <w:b/>
          <w:i/>
          <w:color w:val="0000FF"/>
        </w:rPr>
      </w:pPr>
      <w:r>
        <w:rPr>
          <w:b/>
          <w:i/>
          <w:color w:val="0000FF"/>
        </w:rPr>
        <w:t>In the Mixed basket (</w:t>
      </w:r>
      <w:proofErr w:type="spellStart"/>
      <w:r>
        <w:rPr>
          <w:b/>
          <w:i/>
          <w:color w:val="0000FF"/>
        </w:rPr>
        <w:t>ShorVol</w:t>
      </w:r>
      <w:proofErr w:type="spellEnd"/>
      <w:r>
        <w:rPr>
          <w:b/>
          <w:i/>
          <w:color w:val="0000FF"/>
        </w:rPr>
        <w:t xml:space="preserve"> + </w:t>
      </w:r>
      <w:proofErr w:type="spellStart"/>
      <w:r>
        <w:rPr>
          <w:b/>
          <w:i/>
          <w:color w:val="0000FF"/>
        </w:rPr>
        <w:t>BullishMarket</w:t>
      </w:r>
      <w:proofErr w:type="spellEnd"/>
      <w:r>
        <w:rPr>
          <w:b/>
          <w:i/>
          <w:color w:val="0000FF"/>
        </w:rPr>
        <w:t xml:space="preserve">) case the hedges consumed 40% of PV, which is assigned to the </w:t>
      </w:r>
      <w:proofErr w:type="spellStart"/>
      <w:r>
        <w:rPr>
          <w:b/>
          <w:i/>
          <w:color w:val="0000FF"/>
        </w:rPr>
        <w:t>ShortVol</w:t>
      </w:r>
      <w:proofErr w:type="spellEnd"/>
      <w:r>
        <w:rPr>
          <w:b/>
          <w:i/>
          <w:color w:val="0000FF"/>
        </w:rPr>
        <w:t xml:space="preserve"> + </w:t>
      </w:r>
      <w:proofErr w:type="spellStart"/>
      <w:r>
        <w:rPr>
          <w:b/>
          <w:i/>
          <w:color w:val="0000FF"/>
        </w:rPr>
        <w:t>BullisMarket</w:t>
      </w:r>
      <w:proofErr w:type="spellEnd"/>
      <w:r>
        <w:rPr>
          <w:b/>
          <w:i/>
          <w:color w:val="0000FF"/>
        </w:rPr>
        <w:t xml:space="preserve"> baskets, increasing their weight from 30% / 30% to 50% / 50%. </w:t>
      </w:r>
    </w:p>
    <w:p w14:paraId="2FFDBF14" w14:textId="77777777" w:rsidR="0020214C" w:rsidRDefault="003F4C7F">
      <w:pPr>
        <w:numPr>
          <w:ilvl w:val="0"/>
          <w:numId w:val="4"/>
        </w:numPr>
        <w:jc w:val="both"/>
        <w:rPr>
          <w:b/>
          <w:i/>
          <w:color w:val="0000FF"/>
        </w:rPr>
      </w:pPr>
      <w:r>
        <w:rPr>
          <w:b/>
          <w:i/>
          <w:color w:val="0000FF"/>
        </w:rPr>
        <w:t xml:space="preserve">In case when only the </w:t>
      </w:r>
      <w:proofErr w:type="spellStart"/>
      <w:r>
        <w:rPr>
          <w:b/>
          <w:i/>
          <w:color w:val="0000FF"/>
        </w:rPr>
        <w:t>ShortVol</w:t>
      </w:r>
      <w:proofErr w:type="spellEnd"/>
      <w:r>
        <w:rPr>
          <w:b/>
          <w:i/>
          <w:color w:val="0000FF"/>
        </w:rPr>
        <w:t xml:space="preserve"> basket is played, the 50% </w:t>
      </w:r>
      <w:r>
        <w:rPr>
          <w:b/>
          <w:i/>
          <w:color w:val="0000FF"/>
        </w:rPr>
        <w:t>basket is multiplied by 1.2, and it uses 60% weight after the decision of removing hedges.</w:t>
      </w:r>
    </w:p>
    <w:p w14:paraId="34982D58" w14:textId="77777777" w:rsidR="0020214C" w:rsidRDefault="003F4C7F">
      <w:pPr>
        <w:jc w:val="both"/>
        <w:rPr>
          <w:b/>
          <w:i/>
          <w:color w:val="0000FF"/>
        </w:rPr>
      </w:pPr>
      <w:r>
        <w:rPr>
          <w:b/>
          <w:i/>
          <w:color w:val="0000FF"/>
        </w:rPr>
        <w:t xml:space="preserve">Remark (2018-05-22): Stocks are replaced by options. </w:t>
      </w:r>
    </w:p>
    <w:p w14:paraId="4D1062F5" w14:textId="77777777" w:rsidR="0020214C" w:rsidRDefault="003F4C7F">
      <w:pPr>
        <w:jc w:val="both"/>
        <w:rPr>
          <w:b/>
          <w:i/>
          <w:color w:val="0000FF"/>
        </w:rPr>
      </w:pPr>
      <w:r>
        <w:rPr>
          <w:b/>
          <w:i/>
          <w:color w:val="0000FF"/>
        </w:rPr>
        <w:t>In general options are: ATM, more than 20 days expiration, equivalent Delta as the stock, assuming Delta of ATM option is 0.5 (e.g. 100 stock is replaced by 2x1=2 options, so we don’t do extra-leverage (yet))</w:t>
      </w:r>
    </w:p>
    <w:p w14:paraId="08B1309E" w14:textId="77777777" w:rsidR="0020214C" w:rsidRDefault="003F4C7F">
      <w:pPr>
        <w:numPr>
          <w:ilvl w:val="0"/>
          <w:numId w:val="5"/>
        </w:numPr>
        <w:jc w:val="both"/>
        <w:rPr>
          <w:b/>
          <w:i/>
          <w:color w:val="0000FF"/>
        </w:rPr>
      </w:pPr>
      <w:r>
        <w:rPr>
          <w:b/>
          <w:i/>
          <w:color w:val="0000FF"/>
        </w:rPr>
        <w:t xml:space="preserve">TQQQ and UPRO is replaced fully with the equivalent QQQ, SPY options that gives the same expected next day profit </w:t>
      </w:r>
    </w:p>
    <w:p w14:paraId="10A2C830" w14:textId="77777777" w:rsidR="0020214C" w:rsidRDefault="003F4C7F">
      <w:pPr>
        <w:numPr>
          <w:ilvl w:val="0"/>
          <w:numId w:val="5"/>
        </w:numPr>
        <w:jc w:val="both"/>
        <w:rPr>
          <w:b/>
          <w:i/>
          <w:color w:val="0000FF"/>
        </w:rPr>
      </w:pPr>
      <w:proofErr w:type="spellStart"/>
      <w:r>
        <w:rPr>
          <w:b/>
          <w:i/>
          <w:color w:val="0000FF"/>
        </w:rPr>
        <w:t>ShortVol</w:t>
      </w:r>
      <w:proofErr w:type="spellEnd"/>
      <w:r>
        <w:rPr>
          <w:b/>
          <w:i/>
          <w:color w:val="0000FF"/>
        </w:rPr>
        <w:t xml:space="preserve"> basket: half of the basket stays as it is with a combined </w:t>
      </w:r>
      <w:proofErr w:type="gramStart"/>
      <w:r>
        <w:rPr>
          <w:b/>
          <w:i/>
          <w:color w:val="0000FF"/>
        </w:rPr>
        <w:t>SVXY,VXX</w:t>
      </w:r>
      <w:proofErr w:type="gramEnd"/>
      <w:r>
        <w:rPr>
          <w:b/>
          <w:i/>
          <w:color w:val="0000FF"/>
        </w:rPr>
        <w:t>,ZIV stocks, other half is replaced by VXX only Put options.</w:t>
      </w:r>
    </w:p>
    <w:p w14:paraId="4FE6820C" w14:textId="77777777" w:rsidR="0020214C" w:rsidRDefault="003F4C7F">
      <w:pPr>
        <w:numPr>
          <w:ilvl w:val="0"/>
          <w:numId w:val="5"/>
        </w:numPr>
        <w:jc w:val="both"/>
        <w:rPr>
          <w:b/>
          <w:i/>
          <w:color w:val="0000FF"/>
        </w:rPr>
      </w:pPr>
      <w:proofErr w:type="spellStart"/>
      <w:r>
        <w:rPr>
          <w:b/>
          <w:i/>
          <w:color w:val="0000FF"/>
        </w:rPr>
        <w:t>LongV</w:t>
      </w:r>
      <w:r>
        <w:rPr>
          <w:b/>
          <w:i/>
          <w:color w:val="0000FF"/>
        </w:rPr>
        <w:t>ol</w:t>
      </w:r>
      <w:proofErr w:type="spellEnd"/>
      <w:r>
        <w:rPr>
          <w:b/>
          <w:i/>
          <w:color w:val="0000FF"/>
        </w:rPr>
        <w:t xml:space="preserve"> basket: half is long VXX stock, other half is VXX Call options</w:t>
      </w:r>
    </w:p>
    <w:p w14:paraId="5917F16E" w14:textId="77777777" w:rsidR="0020214C" w:rsidRDefault="003F4C7F">
      <w:pPr>
        <w:jc w:val="both"/>
        <w:rPr>
          <w:b/>
          <w:i/>
          <w:color w:val="0000FF"/>
        </w:rPr>
      </w:pPr>
      <w:r>
        <w:rPr>
          <w:b/>
          <w:i/>
          <w:color w:val="0000FF"/>
        </w:rPr>
        <w:t>Remark (2018-06-08): Stocks are replaced by options, part 2</w:t>
      </w:r>
    </w:p>
    <w:p w14:paraId="0695F875" w14:textId="77777777" w:rsidR="0020214C" w:rsidRDefault="003F4C7F">
      <w:pPr>
        <w:numPr>
          <w:ilvl w:val="0"/>
          <w:numId w:val="5"/>
        </w:numPr>
        <w:jc w:val="both"/>
        <w:rPr>
          <w:b/>
          <w:i/>
          <w:color w:val="0000FF"/>
        </w:rPr>
      </w:pPr>
      <w:r>
        <w:rPr>
          <w:b/>
          <w:i/>
          <w:color w:val="0000FF"/>
        </w:rPr>
        <w:lastRenderedPageBreak/>
        <w:t xml:space="preserve">TQQQ and UPRO is replaced fully with the equivalent QQQ, SPY options that gives the same expected next day profit. Keep FAS for a </w:t>
      </w:r>
      <w:r>
        <w:rPr>
          <w:b/>
          <w:i/>
          <w:color w:val="0000FF"/>
        </w:rPr>
        <w:t>while, but we will think about replacing it with options as well.</w:t>
      </w:r>
    </w:p>
    <w:p w14:paraId="42695EC5" w14:textId="77777777" w:rsidR="0020214C" w:rsidRDefault="003F4C7F">
      <w:pPr>
        <w:numPr>
          <w:ilvl w:val="0"/>
          <w:numId w:val="5"/>
        </w:numPr>
        <w:jc w:val="both"/>
        <w:rPr>
          <w:b/>
          <w:i/>
          <w:color w:val="0000FF"/>
        </w:rPr>
      </w:pPr>
      <w:proofErr w:type="spellStart"/>
      <w:r>
        <w:rPr>
          <w:b/>
          <w:i/>
          <w:color w:val="0000FF"/>
        </w:rPr>
        <w:t>ShortVol</w:t>
      </w:r>
      <w:proofErr w:type="spellEnd"/>
      <w:r>
        <w:rPr>
          <w:b/>
          <w:i/>
          <w:color w:val="0000FF"/>
        </w:rPr>
        <w:t xml:space="preserve"> basket: half of </w:t>
      </w:r>
      <w:proofErr w:type="gramStart"/>
      <w:r>
        <w:rPr>
          <w:b/>
          <w:i/>
          <w:color w:val="0000FF"/>
        </w:rPr>
        <w:t>SVXY,ZIV</w:t>
      </w:r>
      <w:proofErr w:type="gramEnd"/>
      <w:r>
        <w:rPr>
          <w:b/>
          <w:i/>
          <w:color w:val="0000FF"/>
        </w:rPr>
        <w:t xml:space="preserve"> stocks are kept. All other is replaced by VXX Put options. (which is the full VXX and half of the SVXY, ZIV position)</w:t>
      </w:r>
    </w:p>
    <w:p w14:paraId="5F65833B" w14:textId="77777777" w:rsidR="0020214C" w:rsidRDefault="003F4C7F">
      <w:pPr>
        <w:numPr>
          <w:ilvl w:val="0"/>
          <w:numId w:val="5"/>
        </w:numPr>
        <w:jc w:val="both"/>
        <w:rPr>
          <w:b/>
          <w:i/>
          <w:color w:val="0000FF"/>
        </w:rPr>
      </w:pPr>
      <w:proofErr w:type="spellStart"/>
      <w:r>
        <w:rPr>
          <w:b/>
          <w:i/>
          <w:color w:val="0000FF"/>
        </w:rPr>
        <w:t>LongVol</w:t>
      </w:r>
      <w:proofErr w:type="spellEnd"/>
      <w:r>
        <w:rPr>
          <w:b/>
          <w:i/>
          <w:color w:val="0000FF"/>
        </w:rPr>
        <w:t xml:space="preserve"> basket: only long VXX stock, n</w:t>
      </w:r>
      <w:r>
        <w:rPr>
          <w:b/>
          <w:i/>
          <w:color w:val="0000FF"/>
        </w:rPr>
        <w:t>o VXX Call options</w:t>
      </w:r>
    </w:p>
    <w:p w14:paraId="54685C34" w14:textId="77777777" w:rsidR="0020214C" w:rsidRDefault="003F4C7F">
      <w:pPr>
        <w:jc w:val="both"/>
        <w:rPr>
          <w:b/>
          <w:i/>
          <w:color w:val="0000FF"/>
        </w:rPr>
      </w:pPr>
      <w:r>
        <w:rPr>
          <w:b/>
          <w:i/>
          <w:color w:val="0000FF"/>
        </w:rPr>
        <w:t xml:space="preserve">Remark (2018-06-12): On Uber Bullish days we only trade 50% TQQQ, 50% UPRO (converted to options having the same exposure). No hedges. And until that study will be made which will show the VXX vs. TQQQ for different Uber Events, we skip </w:t>
      </w:r>
      <w:r>
        <w:rPr>
          <w:b/>
          <w:i/>
          <w:color w:val="0000FF"/>
        </w:rPr>
        <w:t xml:space="preserve">the </w:t>
      </w:r>
      <w:proofErr w:type="spellStart"/>
      <w:r>
        <w:rPr>
          <w:b/>
          <w:i/>
          <w:color w:val="0000FF"/>
        </w:rPr>
        <w:t>ShortVol</w:t>
      </w:r>
      <w:proofErr w:type="spellEnd"/>
      <w:r>
        <w:rPr>
          <w:b/>
          <w:i/>
          <w:color w:val="0000FF"/>
        </w:rPr>
        <w:t xml:space="preserve"> basket totally.</w:t>
      </w:r>
      <w:r>
        <w:rPr>
          <w:i/>
          <w:color w:val="0000FF"/>
        </w:rPr>
        <w:t xml:space="preserve"> (Later, we may play 50% </w:t>
      </w:r>
      <w:proofErr w:type="spellStart"/>
      <w:r>
        <w:rPr>
          <w:i/>
          <w:color w:val="0000FF"/>
        </w:rPr>
        <w:t>shortVol</w:t>
      </w:r>
      <w:proofErr w:type="spellEnd"/>
      <w:r>
        <w:rPr>
          <w:i/>
          <w:color w:val="0000FF"/>
        </w:rPr>
        <w:t xml:space="preserve"> basket on Volatility events like </w:t>
      </w:r>
      <w:proofErr w:type="spellStart"/>
      <w:r>
        <w:rPr>
          <w:i/>
          <w:color w:val="0000FF"/>
        </w:rPr>
        <w:t>VixFutex</w:t>
      </w:r>
      <w:proofErr w:type="spellEnd"/>
      <w:r>
        <w:rPr>
          <w:i/>
          <w:color w:val="0000FF"/>
        </w:rPr>
        <w:t xml:space="preserve"> or </w:t>
      </w:r>
      <w:proofErr w:type="spellStart"/>
      <w:r>
        <w:rPr>
          <w:i/>
          <w:color w:val="0000FF"/>
        </w:rPr>
        <w:t>Opex</w:t>
      </w:r>
      <w:proofErr w:type="spellEnd"/>
      <w:r>
        <w:rPr>
          <w:i/>
          <w:color w:val="0000FF"/>
        </w:rPr>
        <w:t xml:space="preserve">, we will see). </w:t>
      </w:r>
      <w:r>
        <w:rPr>
          <w:b/>
          <w:i/>
          <w:color w:val="0000FF"/>
        </w:rPr>
        <w:t>On Bearish Uber days we trade long VXX stocks (not options) for a while.</w:t>
      </w:r>
    </w:p>
    <w:p w14:paraId="42A614B3" w14:textId="77777777" w:rsidR="0020214C" w:rsidRDefault="003F4C7F">
      <w:pPr>
        <w:jc w:val="both"/>
        <w:rPr>
          <w:i/>
          <w:color w:val="0000FF"/>
        </w:rPr>
      </w:pPr>
      <w:r>
        <w:rPr>
          <w:b/>
          <w:i/>
          <w:color w:val="0000FF"/>
        </w:rPr>
        <w:t xml:space="preserve">Remark (2018-06-27): </w:t>
      </w:r>
      <w:r>
        <w:rPr>
          <w:i/>
          <w:color w:val="0000FF"/>
        </w:rPr>
        <w:t xml:space="preserve">No changes, only a note here. The </w:t>
      </w:r>
      <w:proofErr w:type="spellStart"/>
      <w:r>
        <w:rPr>
          <w:i/>
          <w:color w:val="0000FF"/>
        </w:rPr>
        <w:t>U</w:t>
      </w:r>
      <w:r>
        <w:rPr>
          <w:i/>
          <w:color w:val="0000FF"/>
        </w:rPr>
        <w:t>berRenewed</w:t>
      </w:r>
      <w:proofErr w:type="spellEnd"/>
      <w:r>
        <w:rPr>
          <w:i/>
          <w:color w:val="0000FF"/>
        </w:rPr>
        <w:t xml:space="preserve"> portfolio PV is 500K, but so </w:t>
      </w:r>
      <w:proofErr w:type="gramStart"/>
      <w:r>
        <w:rPr>
          <w:i/>
          <w:color w:val="0000FF"/>
        </w:rPr>
        <w:t>far</w:t>
      </w:r>
      <w:proofErr w:type="gramEnd"/>
      <w:r>
        <w:rPr>
          <w:i/>
          <w:color w:val="0000FF"/>
        </w:rPr>
        <w:t xml:space="preserve"> we trade it with 50% PV. Now that we play it with options, it is safer, so theoretically we could go 100% PV, instead of 50%, but we defer it and will probably do it in September only. We prefer trading lightly i</w:t>
      </w:r>
      <w:r>
        <w:rPr>
          <w:i/>
          <w:color w:val="0000FF"/>
        </w:rPr>
        <w:t>n summer as market is more skittish and we may not be able to monitor it all the time. We don't want too much excitement when everyone is travelling. Let’s discuss the same in September.</w:t>
      </w:r>
    </w:p>
    <w:p w14:paraId="787500BF" w14:textId="77777777" w:rsidR="0020214C" w:rsidRDefault="003F4C7F">
      <w:pPr>
        <w:jc w:val="both"/>
        <w:rPr>
          <w:i/>
          <w:color w:val="0000FF"/>
        </w:rPr>
      </w:pPr>
      <w:r>
        <w:rPr>
          <w:b/>
          <w:i/>
          <w:color w:val="0000FF"/>
        </w:rPr>
        <w:t xml:space="preserve">Remark (2018-07-04): </w:t>
      </w:r>
      <w:r>
        <w:rPr>
          <w:i/>
          <w:color w:val="0000FF"/>
        </w:rPr>
        <w:t xml:space="preserve">Based on the </w:t>
      </w:r>
      <w:hyperlink r:id="rId25">
        <w:r>
          <w:rPr>
            <w:i/>
            <w:color w:val="0000FF"/>
            <w:u w:val="single"/>
          </w:rPr>
          <w:t>latest document</w:t>
        </w:r>
      </w:hyperlink>
      <w:r>
        <w:rPr>
          <w:i/>
          <w:color w:val="0000FF"/>
        </w:rPr>
        <w:t xml:space="preserve">, there are 4 different decision categories for </w:t>
      </w:r>
      <w:proofErr w:type="spellStart"/>
      <w:r>
        <w:rPr>
          <w:i/>
          <w:color w:val="0000FF"/>
        </w:rPr>
        <w:t>BullishMarket</w:t>
      </w:r>
      <w:proofErr w:type="spellEnd"/>
      <w:r>
        <w:rPr>
          <w:i/>
          <w:color w:val="0000FF"/>
        </w:rPr>
        <w:t xml:space="preserve"> days: </w:t>
      </w:r>
    </w:p>
    <w:p w14:paraId="3BAAAAE7" w14:textId="77777777" w:rsidR="0020214C" w:rsidRDefault="003F4C7F">
      <w:pPr>
        <w:ind w:left="720"/>
        <w:jc w:val="both"/>
        <w:rPr>
          <w:i/>
          <w:color w:val="0000FF"/>
        </w:rPr>
      </w:pPr>
      <w:r>
        <w:rPr>
          <w:i/>
          <w:color w:val="0000FF"/>
        </w:rPr>
        <w:t>1. Using hedges or not or only partially?</w:t>
      </w:r>
    </w:p>
    <w:p w14:paraId="1D6B4227" w14:textId="77777777" w:rsidR="0020214C" w:rsidRDefault="003F4C7F">
      <w:pPr>
        <w:ind w:left="720"/>
        <w:jc w:val="both"/>
        <w:rPr>
          <w:i/>
          <w:color w:val="0000FF"/>
        </w:rPr>
      </w:pPr>
      <w:r>
        <w:rPr>
          <w:i/>
          <w:color w:val="0000FF"/>
        </w:rPr>
        <w:t xml:space="preserve">2. Leverage is 30%+30%=60% or 100% or something else? </w:t>
      </w:r>
    </w:p>
    <w:p w14:paraId="36D58AAA" w14:textId="77777777" w:rsidR="0020214C" w:rsidRDefault="003F4C7F">
      <w:pPr>
        <w:ind w:left="720"/>
        <w:jc w:val="both"/>
        <w:rPr>
          <w:i/>
          <w:color w:val="0000FF"/>
        </w:rPr>
      </w:pPr>
      <w:r>
        <w:rPr>
          <w:i/>
          <w:color w:val="0000FF"/>
        </w:rPr>
        <w:t>3. Which tr</w:t>
      </w:r>
      <w:r>
        <w:rPr>
          <w:i/>
          <w:color w:val="0000FF"/>
        </w:rPr>
        <w:t>ading instrument combinations (VXX, ZIV, SVXY (</w:t>
      </w:r>
      <w:proofErr w:type="spellStart"/>
      <w:r>
        <w:rPr>
          <w:i/>
          <w:color w:val="0000FF"/>
        </w:rPr>
        <w:t>Opex</w:t>
      </w:r>
      <w:proofErr w:type="spellEnd"/>
      <w:r>
        <w:rPr>
          <w:i/>
          <w:color w:val="0000FF"/>
        </w:rPr>
        <w:t xml:space="preserve">, </w:t>
      </w:r>
      <w:proofErr w:type="spellStart"/>
      <w:r>
        <w:rPr>
          <w:i/>
          <w:color w:val="0000FF"/>
        </w:rPr>
        <w:t>VixFutex</w:t>
      </w:r>
      <w:proofErr w:type="spellEnd"/>
      <w:r>
        <w:rPr>
          <w:i/>
          <w:color w:val="0000FF"/>
        </w:rPr>
        <w:t>, deep contango), TQQQ, UPRO, FAS)?</w:t>
      </w:r>
    </w:p>
    <w:p w14:paraId="393573F3" w14:textId="77777777" w:rsidR="0020214C" w:rsidRDefault="003F4C7F">
      <w:pPr>
        <w:ind w:left="720"/>
        <w:jc w:val="both"/>
        <w:rPr>
          <w:i/>
          <w:color w:val="0000FF"/>
        </w:rPr>
      </w:pPr>
      <w:r>
        <w:rPr>
          <w:i/>
          <w:color w:val="0000FF"/>
        </w:rPr>
        <w:t xml:space="preserve">4. Options or not or partial usage? </w:t>
      </w:r>
    </w:p>
    <w:p w14:paraId="52AE0319" w14:textId="77777777" w:rsidR="0020214C" w:rsidRDefault="003F4C7F">
      <w:pPr>
        <w:jc w:val="both"/>
        <w:rPr>
          <w:i/>
          <w:color w:val="0000FF"/>
        </w:rPr>
      </w:pPr>
      <w:r>
        <w:rPr>
          <w:i/>
          <w:color w:val="0000FF"/>
        </w:rPr>
        <w:t>We would like the following at this stage.</w:t>
      </w:r>
    </w:p>
    <w:p w14:paraId="78B9BD68" w14:textId="77777777" w:rsidR="0020214C" w:rsidRDefault="003F4C7F">
      <w:pPr>
        <w:jc w:val="both"/>
        <w:rPr>
          <w:i/>
          <w:color w:val="0000FF"/>
        </w:rPr>
      </w:pPr>
      <w:r>
        <w:rPr>
          <w:i/>
          <w:color w:val="0000FF"/>
        </w:rPr>
        <w:t>- Long VXX days: 100% long VXX stock. Don't trade options. This is a good hedge</w:t>
      </w:r>
      <w:r>
        <w:rPr>
          <w:i/>
          <w:color w:val="0000FF"/>
        </w:rPr>
        <w:t xml:space="preserve"> for the </w:t>
      </w:r>
      <w:proofErr w:type="spellStart"/>
      <w:r>
        <w:rPr>
          <w:i/>
          <w:color w:val="0000FF"/>
        </w:rPr>
        <w:t>GameChanger</w:t>
      </w:r>
      <w:proofErr w:type="spellEnd"/>
      <w:r>
        <w:rPr>
          <w:i/>
          <w:color w:val="0000FF"/>
        </w:rPr>
        <w:t xml:space="preserve"> portfolios.</w:t>
      </w:r>
    </w:p>
    <w:p w14:paraId="08A42B22" w14:textId="77777777" w:rsidR="0020214C" w:rsidRDefault="003F4C7F">
      <w:pPr>
        <w:jc w:val="both"/>
        <w:rPr>
          <w:b/>
          <w:i/>
          <w:color w:val="0000FF"/>
        </w:rPr>
      </w:pPr>
      <w:r>
        <w:rPr>
          <w:i/>
          <w:color w:val="0000FF"/>
        </w:rPr>
        <w:t xml:space="preserve">- We try to minimize the chance of having 50% </w:t>
      </w:r>
      <w:proofErr w:type="spellStart"/>
      <w:r>
        <w:rPr>
          <w:i/>
          <w:color w:val="0000FF"/>
        </w:rPr>
        <w:t>maxDD</w:t>
      </w:r>
      <w:proofErr w:type="spellEnd"/>
      <w:r>
        <w:rPr>
          <w:i/>
          <w:color w:val="0000FF"/>
        </w:rPr>
        <w:t xml:space="preserve"> in the future. Actually, we target 10% </w:t>
      </w:r>
      <w:proofErr w:type="spellStart"/>
      <w:r>
        <w:rPr>
          <w:i/>
          <w:color w:val="0000FF"/>
        </w:rPr>
        <w:t>maxDD</w:t>
      </w:r>
      <w:proofErr w:type="spellEnd"/>
      <w:r>
        <w:rPr>
          <w:i/>
          <w:color w:val="0000FF"/>
        </w:rPr>
        <w:t xml:space="preserve">, although we admit it will be more in the unknown future. The </w:t>
      </w:r>
      <w:proofErr w:type="spellStart"/>
      <w:r>
        <w:rPr>
          <w:i/>
          <w:color w:val="0000FF"/>
        </w:rPr>
        <w:t>UberRenewed</w:t>
      </w:r>
      <w:proofErr w:type="spellEnd"/>
      <w:r>
        <w:rPr>
          <w:i/>
          <w:color w:val="0000FF"/>
        </w:rPr>
        <w:t xml:space="preserve"> strategy (with hedges, but without long VXX days) ha</w:t>
      </w:r>
      <w:r>
        <w:rPr>
          <w:i/>
          <w:color w:val="0000FF"/>
        </w:rPr>
        <w:t xml:space="preserve">s a </w:t>
      </w:r>
      <w:proofErr w:type="spellStart"/>
      <w:r>
        <w:rPr>
          <w:i/>
          <w:color w:val="0000FF"/>
        </w:rPr>
        <w:t>maxDD</w:t>
      </w:r>
      <w:proofErr w:type="spellEnd"/>
      <w:r>
        <w:rPr>
          <w:i/>
          <w:color w:val="0000FF"/>
        </w:rPr>
        <w:t xml:space="preserve"> of 14.5%, let's say 15%. To reduce that to 10% </w:t>
      </w:r>
      <w:proofErr w:type="spellStart"/>
      <w:r>
        <w:rPr>
          <w:i/>
          <w:color w:val="0000FF"/>
        </w:rPr>
        <w:t>maxDD</w:t>
      </w:r>
      <w:proofErr w:type="spellEnd"/>
      <w:r>
        <w:rPr>
          <w:i/>
          <w:color w:val="0000FF"/>
        </w:rPr>
        <w:t xml:space="preserve">, we have to decrease the leverage by 2/3. Let's do that. So, instead of the 30% </w:t>
      </w:r>
      <w:proofErr w:type="spellStart"/>
      <w:r>
        <w:rPr>
          <w:i/>
          <w:color w:val="0000FF"/>
        </w:rPr>
        <w:t>ShortVol</w:t>
      </w:r>
      <w:proofErr w:type="spellEnd"/>
      <w:r>
        <w:rPr>
          <w:i/>
          <w:color w:val="0000FF"/>
        </w:rPr>
        <w:t xml:space="preserve"> and 30% </w:t>
      </w:r>
      <w:proofErr w:type="spellStart"/>
      <w:r>
        <w:rPr>
          <w:i/>
          <w:color w:val="0000FF"/>
        </w:rPr>
        <w:t>BullishMarket</w:t>
      </w:r>
      <w:proofErr w:type="spellEnd"/>
      <w:r>
        <w:rPr>
          <w:i/>
          <w:color w:val="0000FF"/>
        </w:rPr>
        <w:t xml:space="preserve"> basket, </w:t>
      </w:r>
      <w:r>
        <w:rPr>
          <w:b/>
          <w:i/>
          <w:color w:val="0000FF"/>
        </w:rPr>
        <w:t xml:space="preserve">we target 20% </w:t>
      </w:r>
      <w:proofErr w:type="spellStart"/>
      <w:r>
        <w:rPr>
          <w:b/>
          <w:i/>
          <w:color w:val="0000FF"/>
        </w:rPr>
        <w:t>ShortVol</w:t>
      </w:r>
      <w:proofErr w:type="spellEnd"/>
      <w:r>
        <w:rPr>
          <w:b/>
          <w:i/>
          <w:color w:val="0000FF"/>
        </w:rPr>
        <w:t xml:space="preserve"> + 20% </w:t>
      </w:r>
      <w:proofErr w:type="spellStart"/>
      <w:r>
        <w:rPr>
          <w:b/>
          <w:i/>
          <w:color w:val="0000FF"/>
        </w:rPr>
        <w:t>BullishMarket</w:t>
      </w:r>
      <w:proofErr w:type="spellEnd"/>
      <w:r>
        <w:rPr>
          <w:b/>
          <w:i/>
          <w:color w:val="0000FF"/>
        </w:rPr>
        <w:t xml:space="preserve"> exposure. Total exposure is 40%</w:t>
      </w:r>
      <w:r>
        <w:rPr>
          <w:b/>
          <w:i/>
          <w:color w:val="0000FF"/>
        </w:rPr>
        <w:t xml:space="preserve"> only.</w:t>
      </w:r>
    </w:p>
    <w:p w14:paraId="1D175DA4" w14:textId="77777777" w:rsidR="0020214C" w:rsidRDefault="003F4C7F">
      <w:pPr>
        <w:jc w:val="both"/>
        <w:rPr>
          <w:b/>
          <w:i/>
          <w:color w:val="0000FF"/>
        </w:rPr>
      </w:pPr>
      <w:r>
        <w:rPr>
          <w:i/>
          <w:color w:val="0000FF"/>
        </w:rPr>
        <w:t xml:space="preserve">- On Bullish days, we trade everything with options, not stocks. We hope options trading will decrease volatility even more compared to </w:t>
      </w:r>
      <w:proofErr w:type="spellStart"/>
      <w:r>
        <w:rPr>
          <w:i/>
          <w:color w:val="0000FF"/>
        </w:rPr>
        <w:t>backtest</w:t>
      </w:r>
      <w:proofErr w:type="spellEnd"/>
      <w:r>
        <w:rPr>
          <w:i/>
          <w:color w:val="0000FF"/>
        </w:rPr>
        <w:t>, because of multi-day holding periods (if 2 losing days happen, the second day loses less if it is playe</w:t>
      </w:r>
      <w:r>
        <w:rPr>
          <w:i/>
          <w:color w:val="0000FF"/>
        </w:rPr>
        <w:t xml:space="preserve">d by options).If </w:t>
      </w:r>
      <w:proofErr w:type="spellStart"/>
      <w:r>
        <w:rPr>
          <w:i/>
          <w:color w:val="0000FF"/>
        </w:rPr>
        <w:t>ShortVol</w:t>
      </w:r>
      <w:proofErr w:type="spellEnd"/>
      <w:r>
        <w:rPr>
          <w:i/>
          <w:color w:val="0000FF"/>
        </w:rPr>
        <w:t xml:space="preserve"> basket is also played on the Bullish day, we </w:t>
      </w:r>
      <w:r>
        <w:rPr>
          <w:b/>
          <w:i/>
          <w:color w:val="0000FF"/>
        </w:rPr>
        <w:t>turn ZIV, SVXY exposure to VXX, and trade it with VXX Put options.</w:t>
      </w:r>
    </w:p>
    <w:p w14:paraId="24702F73" w14:textId="77777777" w:rsidR="0020214C" w:rsidRDefault="003F4C7F">
      <w:pPr>
        <w:jc w:val="both"/>
        <w:rPr>
          <w:i/>
          <w:color w:val="0000FF"/>
        </w:rPr>
      </w:pPr>
      <w:r>
        <w:rPr>
          <w:i/>
          <w:color w:val="0000FF"/>
        </w:rPr>
        <w:t xml:space="preserve">- The currently used 100% leverage on </w:t>
      </w:r>
      <w:proofErr w:type="spellStart"/>
      <w:r>
        <w:rPr>
          <w:i/>
          <w:color w:val="0000FF"/>
        </w:rPr>
        <w:t>BullishDays</w:t>
      </w:r>
      <w:proofErr w:type="spellEnd"/>
      <w:r>
        <w:rPr>
          <w:i/>
          <w:color w:val="0000FF"/>
        </w:rPr>
        <w:t xml:space="preserve"> is decreased very much because of the previous decision. To compensa</w:t>
      </w:r>
      <w:r>
        <w:rPr>
          <w:i/>
          <w:color w:val="0000FF"/>
        </w:rPr>
        <w:t xml:space="preserve">te for that, we will use the whole PV of the Uber portfolio. So, </w:t>
      </w:r>
      <w:r>
        <w:rPr>
          <w:b/>
          <w:i/>
          <w:color w:val="0000FF"/>
        </w:rPr>
        <w:t>instead of the current $250K (50% exposure), let's use the $500K</w:t>
      </w:r>
      <w:r>
        <w:rPr>
          <w:i/>
          <w:color w:val="0000FF"/>
        </w:rPr>
        <w:t xml:space="preserve"> total PV (100%) on both Bullish and Bearish days.</w:t>
      </w:r>
    </w:p>
    <w:p w14:paraId="7ED92491" w14:textId="77777777" w:rsidR="0020214C" w:rsidRDefault="003F4C7F">
      <w:pPr>
        <w:jc w:val="both"/>
        <w:rPr>
          <w:i/>
          <w:color w:val="0000FF"/>
        </w:rPr>
      </w:pPr>
      <w:r>
        <w:rPr>
          <w:i/>
          <w:color w:val="0000FF"/>
        </w:rPr>
        <w:t xml:space="preserve">- In the </w:t>
      </w:r>
      <w:proofErr w:type="spellStart"/>
      <w:r>
        <w:rPr>
          <w:i/>
          <w:color w:val="0000FF"/>
        </w:rPr>
        <w:t>Opex</w:t>
      </w:r>
      <w:proofErr w:type="spellEnd"/>
      <w:r>
        <w:rPr>
          <w:i/>
          <w:color w:val="0000FF"/>
        </w:rPr>
        <w:t xml:space="preserve">, </w:t>
      </w:r>
      <w:proofErr w:type="spellStart"/>
      <w:r>
        <w:rPr>
          <w:i/>
          <w:color w:val="0000FF"/>
        </w:rPr>
        <w:t>VixFutex</w:t>
      </w:r>
      <w:proofErr w:type="spellEnd"/>
      <w:r>
        <w:rPr>
          <w:i/>
          <w:color w:val="0000FF"/>
        </w:rPr>
        <w:t xml:space="preserve">, deep contango cases trade the </w:t>
      </w:r>
      <w:proofErr w:type="spellStart"/>
      <w:r>
        <w:rPr>
          <w:i/>
          <w:color w:val="0000FF"/>
        </w:rPr>
        <w:t>ShortVol</w:t>
      </w:r>
      <w:proofErr w:type="spellEnd"/>
      <w:r>
        <w:rPr>
          <w:i/>
          <w:color w:val="0000FF"/>
        </w:rPr>
        <w:t xml:space="preserve"> basket ‘too’</w:t>
      </w:r>
      <w:r>
        <w:rPr>
          <w:i/>
          <w:color w:val="0000FF"/>
        </w:rPr>
        <w:t xml:space="preserve"> (together with the </w:t>
      </w:r>
      <w:proofErr w:type="spellStart"/>
      <w:r>
        <w:rPr>
          <w:i/>
          <w:color w:val="0000FF"/>
        </w:rPr>
        <w:t>BullishMarket</w:t>
      </w:r>
      <w:proofErr w:type="spellEnd"/>
      <w:r>
        <w:rPr>
          <w:i/>
          <w:color w:val="0000FF"/>
        </w:rPr>
        <w:t xml:space="preserve"> basket). On other bullish days, trade only the </w:t>
      </w:r>
      <w:proofErr w:type="spellStart"/>
      <w:r>
        <w:rPr>
          <w:i/>
          <w:color w:val="0000FF"/>
        </w:rPr>
        <w:t>BullishMarket</w:t>
      </w:r>
      <w:proofErr w:type="spellEnd"/>
      <w:r>
        <w:rPr>
          <w:i/>
          <w:color w:val="0000FF"/>
        </w:rPr>
        <w:t xml:space="preserve"> basket with 2x exposure to consume 40% PV instead of the 20%. We define deep contango with the threshold for the 7th decile (based on </w:t>
      </w:r>
      <w:hyperlink r:id="rId26">
        <w:r>
          <w:rPr>
            <w:i/>
            <w:color w:val="0000FF"/>
            <w:u w:val="single"/>
          </w:rPr>
          <w:t>Table 56a, 56b</w:t>
        </w:r>
      </w:hyperlink>
      <w:r>
        <w:rPr>
          <w:i/>
          <w:color w:val="0000FF"/>
        </w:rPr>
        <w:t xml:space="preserve">) which is 7.23%. If the daily contango is bigger than this, we use </w:t>
      </w:r>
      <w:proofErr w:type="spellStart"/>
      <w:r>
        <w:rPr>
          <w:i/>
          <w:color w:val="0000FF"/>
        </w:rPr>
        <w:t>ShortVol</w:t>
      </w:r>
      <w:proofErr w:type="spellEnd"/>
      <w:r>
        <w:rPr>
          <w:i/>
          <w:color w:val="0000FF"/>
        </w:rPr>
        <w:t xml:space="preserve"> basket too in All events.</w:t>
      </w:r>
    </w:p>
    <w:p w14:paraId="6B5CCE0D" w14:textId="77777777" w:rsidR="0020214C" w:rsidRDefault="003F4C7F">
      <w:pPr>
        <w:jc w:val="both"/>
        <w:rPr>
          <w:i/>
          <w:color w:val="0000FF"/>
        </w:rPr>
      </w:pPr>
      <w:r>
        <w:rPr>
          <w:i/>
          <w:color w:val="0000FF"/>
        </w:rPr>
        <w:t xml:space="preserve">- </w:t>
      </w:r>
      <w:r>
        <w:rPr>
          <w:b/>
          <w:i/>
          <w:color w:val="0000FF"/>
        </w:rPr>
        <w:t xml:space="preserve">FAS: it should be in the </w:t>
      </w:r>
      <w:proofErr w:type="spellStart"/>
      <w:r>
        <w:rPr>
          <w:b/>
          <w:i/>
          <w:color w:val="0000FF"/>
        </w:rPr>
        <w:t>BullishMarket</w:t>
      </w:r>
      <w:proofErr w:type="spellEnd"/>
      <w:r>
        <w:rPr>
          <w:b/>
          <w:i/>
          <w:color w:val="0000FF"/>
        </w:rPr>
        <w:t xml:space="preserve"> basket on</w:t>
      </w:r>
      <w:r>
        <w:rPr>
          <w:b/>
          <w:i/>
          <w:color w:val="0000FF"/>
        </w:rPr>
        <w:t>ly on FOMC days</w:t>
      </w:r>
      <w:r>
        <w:rPr>
          <w:i/>
          <w:color w:val="0000FF"/>
        </w:rPr>
        <w:t xml:space="preserve">, because conceptually FOMC days are interest-rate setting days, and it is good for the banks. On any other bullish days, trade only TQQQ and UPRO as the </w:t>
      </w:r>
      <w:proofErr w:type="spellStart"/>
      <w:r>
        <w:rPr>
          <w:i/>
          <w:color w:val="0000FF"/>
        </w:rPr>
        <w:t>BullishMarket</w:t>
      </w:r>
      <w:proofErr w:type="spellEnd"/>
      <w:r>
        <w:rPr>
          <w:i/>
          <w:color w:val="0000FF"/>
        </w:rPr>
        <w:t xml:space="preserve"> basket.</w:t>
      </w:r>
    </w:p>
    <w:p w14:paraId="6259C0D5" w14:textId="77777777" w:rsidR="0020214C" w:rsidRDefault="003F4C7F">
      <w:pPr>
        <w:jc w:val="both"/>
        <w:rPr>
          <w:i/>
          <w:color w:val="0000FF"/>
        </w:rPr>
      </w:pPr>
      <w:r>
        <w:rPr>
          <w:i/>
          <w:color w:val="0000FF"/>
        </w:rPr>
        <w:t xml:space="preserve">- </w:t>
      </w:r>
      <w:r>
        <w:rPr>
          <w:b/>
          <w:i/>
          <w:color w:val="0000FF"/>
        </w:rPr>
        <w:t>Hedges:</w:t>
      </w:r>
      <w:r>
        <w:rPr>
          <w:i/>
          <w:color w:val="0000FF"/>
        </w:rPr>
        <w:t xml:space="preserve"> in the future, we will introduce back the hedges opport</w:t>
      </w:r>
      <w:r>
        <w:rPr>
          <w:i/>
          <w:color w:val="0000FF"/>
        </w:rPr>
        <w:t>unistically. The 40% hedges exposure is also deleveraged by 2/3, which will give a total maximum hedge as 26.6%. In the long term we like TLT as a hedge, but not at the moment, still play half of the intended short TMV exposure. (10% decreased to ⅔ would b</w:t>
      </w:r>
      <w:r>
        <w:rPr>
          <w:i/>
          <w:color w:val="0000FF"/>
        </w:rPr>
        <w:t xml:space="preserve">e 6.66% as the target, but only half of it now: </w:t>
      </w:r>
      <w:r>
        <w:rPr>
          <w:b/>
          <w:i/>
          <w:color w:val="0000FF"/>
        </w:rPr>
        <w:t>3.3% short TMV</w:t>
      </w:r>
      <w:r>
        <w:rPr>
          <w:i/>
          <w:color w:val="0000FF"/>
        </w:rPr>
        <w:t xml:space="preserve"> now). However, we like short natural gas now. Let's use the intended amount, which is ⅔ of the 15% as </w:t>
      </w:r>
      <w:r>
        <w:rPr>
          <w:b/>
          <w:i/>
          <w:color w:val="0000FF"/>
        </w:rPr>
        <w:t xml:space="preserve">10% short UGAZ </w:t>
      </w:r>
      <w:r>
        <w:rPr>
          <w:i/>
          <w:color w:val="0000FF"/>
        </w:rPr>
        <w:t xml:space="preserve">now. These half-TMV, full UGAZ hedges will go on until we </w:t>
      </w:r>
      <w:r>
        <w:rPr>
          <w:i/>
          <w:color w:val="0000FF"/>
        </w:rPr>
        <w:lastRenderedPageBreak/>
        <w:t>specify otherwise.</w:t>
      </w:r>
      <w:r>
        <w:rPr>
          <w:i/>
          <w:color w:val="0000FF"/>
        </w:rPr>
        <w:t xml:space="preserve"> Ideally, we should re-evaluate which hedges we use at least once per month, or instantly react if there is a power event that affects our worldview.</w:t>
      </w:r>
    </w:p>
    <w:p w14:paraId="28478BD0" w14:textId="77777777" w:rsidR="0020214C" w:rsidRDefault="003F4C7F">
      <w:pPr>
        <w:jc w:val="both"/>
        <w:rPr>
          <w:b/>
          <w:i/>
          <w:color w:val="0000FF"/>
        </w:rPr>
      </w:pPr>
      <w:r>
        <w:rPr>
          <w:b/>
          <w:i/>
          <w:color w:val="0000FF"/>
        </w:rPr>
        <w:t xml:space="preserve">Remark (2018-09-27): </w:t>
      </w:r>
      <w:r>
        <w:rPr>
          <w:i/>
          <w:color w:val="0000FF"/>
        </w:rPr>
        <w:t>Because we see that trading bullish days with options decreases the risked capital so</w:t>
      </w:r>
      <w:r>
        <w:rPr>
          <w:i/>
          <w:color w:val="0000FF"/>
        </w:rPr>
        <w:t xml:space="preserve"> much, we would like to double the traded amounts. Let's use the $1M total PV (200%) on both Bullish and Bearish days.</w:t>
      </w:r>
    </w:p>
    <w:p w14:paraId="5BCB7BA2" w14:textId="77777777" w:rsidR="0020214C" w:rsidRDefault="003F4C7F">
      <w:pPr>
        <w:jc w:val="both"/>
        <w:rPr>
          <w:i/>
          <w:color w:val="0000FF"/>
        </w:rPr>
      </w:pPr>
      <w:r>
        <w:rPr>
          <w:b/>
          <w:i/>
          <w:color w:val="0000FF"/>
        </w:rPr>
        <w:t xml:space="preserve">Remark (2018-11-19): [planned until 1st January 2019] </w:t>
      </w:r>
      <w:r>
        <w:rPr>
          <w:i/>
          <w:color w:val="0000FF"/>
        </w:rPr>
        <w:t xml:space="preserve">The market is too jittery now. On bullish days, if there is </w:t>
      </w:r>
      <w:hyperlink r:id="rId27">
        <w:r>
          <w:rPr>
            <w:i/>
            <w:color w:val="0000FF"/>
            <w:u w:val="single"/>
          </w:rPr>
          <w:t>only 1 bullish</w:t>
        </w:r>
      </w:hyperlink>
      <w:r>
        <w:rPr>
          <w:i/>
          <w:color w:val="0000FF"/>
        </w:rPr>
        <w:t xml:space="preserve"> signal which is weak, then don’t play that day as bullish, but stay in cash. Weak signals: </w:t>
      </w:r>
      <w:proofErr w:type="spellStart"/>
      <w:r>
        <w:rPr>
          <w:i/>
          <w:color w:val="0000FF"/>
        </w:rPr>
        <w:t>Opex</w:t>
      </w:r>
      <w:proofErr w:type="spellEnd"/>
      <w:r>
        <w:rPr>
          <w:i/>
          <w:color w:val="0000FF"/>
        </w:rPr>
        <w:t xml:space="preserve">, </w:t>
      </w:r>
      <w:proofErr w:type="spellStart"/>
      <w:r>
        <w:rPr>
          <w:i/>
          <w:color w:val="0000FF"/>
        </w:rPr>
        <w:t>ToM</w:t>
      </w:r>
      <w:proofErr w:type="spellEnd"/>
      <w:r>
        <w:rPr>
          <w:i/>
          <w:color w:val="0000FF"/>
        </w:rPr>
        <w:t xml:space="preserve">, </w:t>
      </w:r>
      <w:proofErr w:type="spellStart"/>
      <w:r>
        <w:rPr>
          <w:i/>
          <w:color w:val="0000FF"/>
        </w:rPr>
        <w:t>ToMM</w:t>
      </w:r>
      <w:proofErr w:type="spellEnd"/>
      <w:r>
        <w:rPr>
          <w:i/>
          <w:color w:val="0000FF"/>
        </w:rPr>
        <w:t xml:space="preserve">, </w:t>
      </w:r>
      <w:proofErr w:type="spellStart"/>
      <w:r>
        <w:rPr>
          <w:i/>
          <w:color w:val="0000FF"/>
        </w:rPr>
        <w:t>VixFutex</w:t>
      </w:r>
      <w:proofErr w:type="spellEnd"/>
      <w:r>
        <w:rPr>
          <w:i/>
          <w:color w:val="0000FF"/>
        </w:rPr>
        <w:t>. FOMC and Holidays are strong signals, therefore play them even if there is only 1 bullish signal on that day.</w:t>
      </w:r>
    </w:p>
    <w:p w14:paraId="2852E439" w14:textId="77777777" w:rsidR="0020214C" w:rsidRDefault="003F4C7F">
      <w:pPr>
        <w:jc w:val="both"/>
        <w:rPr>
          <w:i/>
          <w:color w:val="0000FF"/>
        </w:rPr>
      </w:pPr>
      <w:r>
        <w:rPr>
          <w:b/>
          <w:i/>
          <w:color w:val="0000FF"/>
        </w:rPr>
        <w:t>Remark (2018-11-20): [plann</w:t>
      </w:r>
      <w:r>
        <w:rPr>
          <w:b/>
          <w:i/>
          <w:color w:val="0000FF"/>
        </w:rPr>
        <w:t xml:space="preserve">ed until 1st January 2019] </w:t>
      </w:r>
      <w:r>
        <w:rPr>
          <w:i/>
          <w:color w:val="0000FF"/>
        </w:rPr>
        <w:t>The market is even more jittery now. Instead of the current 200% PV play, let's go back to 100% on both Bullish and Bearish days.”</w:t>
      </w:r>
    </w:p>
    <w:p w14:paraId="0F0A278A" w14:textId="77777777" w:rsidR="0020214C" w:rsidRDefault="0020214C">
      <w:pPr>
        <w:jc w:val="both"/>
        <w:rPr>
          <w:sz w:val="20"/>
          <w:szCs w:val="20"/>
        </w:rPr>
      </w:pPr>
    </w:p>
    <w:p w14:paraId="139BA1E4" w14:textId="77777777" w:rsidR="0020214C" w:rsidRDefault="003F4C7F">
      <w:pPr>
        <w:jc w:val="both"/>
        <w:rPr>
          <w:sz w:val="20"/>
          <w:szCs w:val="20"/>
        </w:rPr>
      </w:pPr>
      <w:r>
        <w:t xml:space="preserve">Table 3 shows the </w:t>
      </w:r>
      <w:r>
        <w:rPr>
          <w:b/>
        </w:rPr>
        <w:t>~</w:t>
      </w:r>
      <w:proofErr w:type="gramStart"/>
      <w:r>
        <w:rPr>
          <w:b/>
        </w:rPr>
        <w:t>1 year</w:t>
      </w:r>
      <w:proofErr w:type="gramEnd"/>
      <w:r>
        <w:rPr>
          <w:b/>
        </w:rPr>
        <w:t xml:space="preserve"> profit of the real life trading</w:t>
      </w:r>
      <w:r>
        <w:t xml:space="preserve"> (based on above modifications) and the </w:t>
      </w:r>
      <w:r>
        <w:rPr>
          <w:b/>
        </w:rPr>
        <w:t>theoretical performance</w:t>
      </w:r>
      <w:r>
        <w:t xml:space="preserve"> of the original </w:t>
      </w:r>
      <w:r>
        <w:rPr>
          <w:i/>
        </w:rPr>
        <w:t>‘The Renewed Uber Strategy’</w:t>
      </w:r>
      <w:r>
        <w:t xml:space="preserve"> and its sub-strategies. It can be seen that our </w:t>
      </w:r>
      <w:r>
        <w:rPr>
          <w:b/>
        </w:rPr>
        <w:t>live portfolio lost about -15%</w:t>
      </w:r>
      <w:r>
        <w:t xml:space="preserve">, while it would be </w:t>
      </w:r>
      <w:r>
        <w:rPr>
          <w:b/>
        </w:rPr>
        <w:t>only about -6% using the original rules</w:t>
      </w:r>
      <w:r>
        <w:t>. As it can</w:t>
      </w:r>
      <w:r>
        <w:t xml:space="preserve"> be concluded, </w:t>
      </w:r>
      <w:r>
        <w:rPr>
          <w:b/>
        </w:rPr>
        <w:t>all but the Short Volatility basket would suffer a slight loss</w:t>
      </w:r>
      <w:r>
        <w:t>.</w:t>
      </w:r>
      <w:r>
        <w:rPr>
          <w:sz w:val="20"/>
          <w:szCs w:val="20"/>
        </w:rPr>
        <w:t xml:space="preserve"> </w:t>
      </w:r>
    </w:p>
    <w:p w14:paraId="549E699D" w14:textId="77777777" w:rsidR="0020214C" w:rsidRDefault="0020214C">
      <w:pPr>
        <w:jc w:val="both"/>
        <w:rPr>
          <w:sz w:val="20"/>
          <w:szCs w:val="20"/>
        </w:rPr>
      </w:pPr>
    </w:p>
    <w:p w14:paraId="5C46984E" w14:textId="77777777" w:rsidR="0020214C" w:rsidRDefault="003F4C7F">
      <w:pPr>
        <w:jc w:val="center"/>
      </w:pPr>
      <w:r>
        <w:rPr>
          <w:sz w:val="18"/>
          <w:szCs w:val="18"/>
        </w:rPr>
        <w:t>Table 3: Performance of Renewed Uber and Sub-Strategies from 2018-05-14 until 2019-05-24</w:t>
      </w:r>
    </w:p>
    <w:p w14:paraId="1B4DD43C" w14:textId="77777777" w:rsidR="0020214C" w:rsidRDefault="003F4C7F">
      <w:pPr>
        <w:jc w:val="center"/>
        <w:rPr>
          <w:sz w:val="18"/>
          <w:szCs w:val="18"/>
        </w:rPr>
      </w:pPr>
      <w:r>
        <w:rPr>
          <w:noProof/>
          <w:sz w:val="18"/>
          <w:szCs w:val="18"/>
        </w:rPr>
        <w:drawing>
          <wp:inline distT="114300" distB="114300" distL="114300" distR="114300" wp14:anchorId="328A96BD" wp14:editId="09C58D5B">
            <wp:extent cx="4953000" cy="1133475"/>
            <wp:effectExtent l="0" t="0" r="0" b="0"/>
            <wp:docPr id="47"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8"/>
                    <a:srcRect/>
                    <a:stretch>
                      <a:fillRect/>
                    </a:stretch>
                  </pic:blipFill>
                  <pic:spPr>
                    <a:xfrm>
                      <a:off x="0" y="0"/>
                      <a:ext cx="4953000" cy="1133475"/>
                    </a:xfrm>
                    <a:prstGeom prst="rect">
                      <a:avLst/>
                    </a:prstGeom>
                    <a:ln/>
                  </pic:spPr>
                </pic:pic>
              </a:graphicData>
            </a:graphic>
          </wp:inline>
        </w:drawing>
      </w:r>
    </w:p>
    <w:p w14:paraId="13D3CADB" w14:textId="77777777" w:rsidR="0020214C" w:rsidRDefault="0020214C">
      <w:pPr>
        <w:jc w:val="center"/>
        <w:rPr>
          <w:sz w:val="18"/>
          <w:szCs w:val="18"/>
        </w:rPr>
      </w:pPr>
    </w:p>
    <w:p w14:paraId="3F19EADB" w14:textId="77777777" w:rsidR="0020214C" w:rsidRDefault="003F4C7F">
      <w:pPr>
        <w:jc w:val="both"/>
      </w:pPr>
      <w:r>
        <w:t>Based on these figures, someone may have two questions:</w:t>
      </w:r>
    </w:p>
    <w:p w14:paraId="6053AF58" w14:textId="77777777" w:rsidR="0020214C" w:rsidRDefault="003F4C7F">
      <w:pPr>
        <w:numPr>
          <w:ilvl w:val="0"/>
          <w:numId w:val="6"/>
        </w:numPr>
        <w:spacing w:before="80" w:line="273" w:lineRule="auto"/>
        <w:jc w:val="both"/>
        <w:rPr>
          <w:b/>
        </w:rPr>
      </w:pPr>
      <w:r>
        <w:rPr>
          <w:b/>
        </w:rPr>
        <w:t xml:space="preserve">Why was not profitable the </w:t>
      </w:r>
      <w:r>
        <w:rPr>
          <w:b/>
        </w:rPr>
        <w:t>Theoretical Renewed Uber Strategy?</w:t>
      </w:r>
    </w:p>
    <w:p w14:paraId="057AB05E" w14:textId="77777777" w:rsidR="0020214C" w:rsidRDefault="003F4C7F">
      <w:pPr>
        <w:numPr>
          <w:ilvl w:val="0"/>
          <w:numId w:val="6"/>
        </w:numPr>
        <w:spacing w:before="80" w:line="273" w:lineRule="auto"/>
        <w:jc w:val="both"/>
        <w:rPr>
          <w:b/>
        </w:rPr>
      </w:pPr>
      <w:r>
        <w:rPr>
          <w:b/>
        </w:rPr>
        <w:t>Where does the big difference between real and theoretical performance come from?</w:t>
      </w:r>
    </w:p>
    <w:p w14:paraId="4ECCC11E" w14:textId="77777777" w:rsidR="0020214C" w:rsidRDefault="0020214C">
      <w:pPr>
        <w:jc w:val="both"/>
      </w:pPr>
    </w:p>
    <w:p w14:paraId="201973DE" w14:textId="77777777" w:rsidR="0020214C" w:rsidRDefault="003F4C7F">
      <w:pPr>
        <w:jc w:val="both"/>
      </w:pPr>
      <w:r>
        <w:t xml:space="preserve">To answer these questions - at least partially-, look at Table 4 and Table 5. </w:t>
      </w:r>
    </w:p>
    <w:p w14:paraId="0B7EC892" w14:textId="77777777" w:rsidR="0020214C" w:rsidRDefault="0020214C">
      <w:pPr>
        <w:jc w:val="both"/>
      </w:pPr>
    </w:p>
    <w:p w14:paraId="19E13001" w14:textId="77777777" w:rsidR="0020214C" w:rsidRDefault="003F4C7F">
      <w:pPr>
        <w:jc w:val="both"/>
      </w:pPr>
      <w:r>
        <w:t xml:space="preserve">In Table 4, the </w:t>
      </w:r>
      <w:r>
        <w:rPr>
          <w:b/>
        </w:rPr>
        <w:t>performance of really traded ETPs with 100</w:t>
      </w:r>
      <w:r>
        <w:rPr>
          <w:b/>
        </w:rPr>
        <w:t>% weight and the ‘Modified, Deleveraged Bullish Mix Basket’</w:t>
      </w:r>
      <w:r>
        <w:t xml:space="preserve"> (20% Short VXX + 10% Long TQQQ + 10% Long UPRO + 10% Short UGAZ + 3.3% Short TMV - as it was recommended in Remark (2018-07-04), without FAS) can be found playing on</w:t>
      </w:r>
      <w:r>
        <w:rPr>
          <w:b/>
        </w:rPr>
        <w:t xml:space="preserve"> every bullish days</w:t>
      </w:r>
      <w:r>
        <w:t xml:space="preserve"> (not only w</w:t>
      </w:r>
      <w:r>
        <w:t xml:space="preserve">hen Long Market Basket should be played). It can be seen that </w:t>
      </w:r>
      <w:r>
        <w:rPr>
          <w:b/>
        </w:rPr>
        <w:t>all of these ETPs but short UGAZ would be profitable</w:t>
      </w:r>
      <w:r>
        <w:t xml:space="preserve"> playing them on </w:t>
      </w:r>
      <w:r>
        <w:rPr>
          <w:b/>
        </w:rPr>
        <w:t xml:space="preserve">every bullish </w:t>
      </w:r>
      <w:proofErr w:type="gramStart"/>
      <w:r>
        <w:rPr>
          <w:b/>
        </w:rPr>
        <w:t>days</w:t>
      </w:r>
      <w:proofErr w:type="gramEnd"/>
      <w:r>
        <w:t xml:space="preserve">. Furthermore, </w:t>
      </w:r>
      <w:r>
        <w:rPr>
          <w:b/>
        </w:rPr>
        <w:t>the modified and deleveraged bullish mix basket would also be profitable. And the -3.43% los</w:t>
      </w:r>
      <w:r>
        <w:rPr>
          <w:b/>
        </w:rPr>
        <w:t>s on bearish days (Theoretical Long VXX) was compensated by this +6.8% theoretical profit.</w:t>
      </w:r>
      <w:r>
        <w:t xml:space="preserve"> Thus, we believe that it is unnecessary to distinguish between ‘Only Short Volatility’ and ‘Short Volatility + Long Market Basket’ days. It is </w:t>
      </w:r>
      <w:r>
        <w:rPr>
          <w:b/>
        </w:rPr>
        <w:t>enough to separate bul</w:t>
      </w:r>
      <w:r>
        <w:rPr>
          <w:b/>
        </w:rPr>
        <w:t xml:space="preserve">lish and bearish days </w:t>
      </w:r>
      <w:r>
        <w:t>(and all of the selected ETPs should be played on bullish days).</w:t>
      </w:r>
    </w:p>
    <w:p w14:paraId="6EFB5B38" w14:textId="77777777" w:rsidR="0020214C" w:rsidRDefault="0020214C">
      <w:pPr>
        <w:jc w:val="both"/>
      </w:pPr>
    </w:p>
    <w:p w14:paraId="3BE770C6" w14:textId="77777777" w:rsidR="0020214C" w:rsidRDefault="003F4C7F">
      <w:pPr>
        <w:jc w:val="both"/>
        <w:rPr>
          <w:b/>
        </w:rPr>
      </w:pPr>
      <w:r>
        <w:t xml:space="preserve">In Table 5, the </w:t>
      </w:r>
      <w:proofErr w:type="gramStart"/>
      <w:r>
        <w:rPr>
          <w:b/>
        </w:rPr>
        <w:t>real life</w:t>
      </w:r>
      <w:proofErr w:type="gramEnd"/>
      <w:r>
        <w:rPr>
          <w:b/>
        </w:rPr>
        <w:t xml:space="preserve"> performance of played ETPs and their options</w:t>
      </w:r>
      <w:r>
        <w:t xml:space="preserve"> (call in case of QQQ and SPY, while put in case of VXX) can be found </w:t>
      </w:r>
      <w:r>
        <w:rPr>
          <w:b/>
        </w:rPr>
        <w:t>from 2018-05-24</w:t>
      </w:r>
      <w:r>
        <w:t xml:space="preserve"> (playing the</w:t>
      </w:r>
      <w:r>
        <w:t xml:space="preserve"> strategy with options instead of stocks was decided on 2018-05-22 - Remark (2018-05-22)). These figures show what would have been the profit of stocks/options if the strategy would be played with only the given stock/option (with 100% PV). For example, pl</w:t>
      </w:r>
      <w:r>
        <w:t xml:space="preserve">aying the bullish days with only short VXX stock would have made 9.09% profit, while the same figure would be -12.63% loss using put options instead of short stock. </w:t>
      </w:r>
      <w:r>
        <w:rPr>
          <w:b/>
        </w:rPr>
        <w:t>It can be seen that the difference is significant in case of QQQ and SPY, while unacceptabl</w:t>
      </w:r>
      <w:r>
        <w:rPr>
          <w:b/>
        </w:rPr>
        <w:t>y high in case of short VXX. Based on figures, the strategy should not be played with options.</w:t>
      </w:r>
    </w:p>
    <w:p w14:paraId="38DE3878" w14:textId="77777777" w:rsidR="0020214C" w:rsidRDefault="0020214C">
      <w:pPr>
        <w:jc w:val="both"/>
        <w:rPr>
          <w:b/>
        </w:rPr>
      </w:pPr>
    </w:p>
    <w:p w14:paraId="40291395" w14:textId="77777777" w:rsidR="0020214C" w:rsidRDefault="003F4C7F">
      <w:pPr>
        <w:jc w:val="both"/>
        <w:rPr>
          <w:b/>
        </w:rPr>
      </w:pPr>
      <w:r>
        <w:lastRenderedPageBreak/>
        <w:t xml:space="preserve">Naturally, </w:t>
      </w:r>
      <w:r>
        <w:rPr>
          <w:b/>
        </w:rPr>
        <w:t>these findings do not fully answer our questions (there were other discretionary decisions, etc.), but these should be taken into account when develo</w:t>
      </w:r>
      <w:r>
        <w:rPr>
          <w:b/>
        </w:rPr>
        <w:t>ping further the strategy.</w:t>
      </w:r>
    </w:p>
    <w:p w14:paraId="02E1199E" w14:textId="77777777" w:rsidR="0020214C" w:rsidRDefault="0020214C">
      <w:pPr>
        <w:jc w:val="both"/>
        <w:rPr>
          <w:sz w:val="20"/>
          <w:szCs w:val="20"/>
        </w:rPr>
      </w:pPr>
    </w:p>
    <w:p w14:paraId="10A077C0" w14:textId="77777777" w:rsidR="0020214C" w:rsidRDefault="003F4C7F">
      <w:pPr>
        <w:jc w:val="center"/>
        <w:rPr>
          <w:sz w:val="18"/>
          <w:szCs w:val="18"/>
        </w:rPr>
      </w:pPr>
      <w:r>
        <w:br w:type="page"/>
      </w:r>
    </w:p>
    <w:p w14:paraId="771EC0D0" w14:textId="77777777" w:rsidR="0020214C" w:rsidRDefault="003F4C7F">
      <w:pPr>
        <w:jc w:val="center"/>
        <w:rPr>
          <w:sz w:val="18"/>
          <w:szCs w:val="18"/>
        </w:rPr>
      </w:pPr>
      <w:r>
        <w:rPr>
          <w:sz w:val="18"/>
          <w:szCs w:val="18"/>
        </w:rPr>
        <w:lastRenderedPageBreak/>
        <w:t>Table 4: Performance of Traded ETPs of Renewed Uber from 2018-05-14 until 2019-05-24</w:t>
      </w:r>
    </w:p>
    <w:p w14:paraId="71D7E804" w14:textId="77777777" w:rsidR="0020214C" w:rsidRDefault="003F4C7F">
      <w:pPr>
        <w:jc w:val="center"/>
        <w:rPr>
          <w:sz w:val="18"/>
          <w:szCs w:val="18"/>
        </w:rPr>
      </w:pPr>
      <w:r>
        <w:rPr>
          <w:noProof/>
          <w:sz w:val="18"/>
          <w:szCs w:val="18"/>
        </w:rPr>
        <w:drawing>
          <wp:inline distT="114300" distB="114300" distL="114300" distR="114300" wp14:anchorId="7ACC947A" wp14:editId="156903E9">
            <wp:extent cx="6096000" cy="752475"/>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6096000" cy="752475"/>
                    </a:xfrm>
                    <a:prstGeom prst="rect">
                      <a:avLst/>
                    </a:prstGeom>
                    <a:ln/>
                  </pic:spPr>
                </pic:pic>
              </a:graphicData>
            </a:graphic>
          </wp:inline>
        </w:drawing>
      </w:r>
    </w:p>
    <w:p w14:paraId="02ECD66C" w14:textId="77777777" w:rsidR="0020214C" w:rsidRDefault="0020214C">
      <w:pPr>
        <w:jc w:val="center"/>
        <w:rPr>
          <w:sz w:val="18"/>
          <w:szCs w:val="18"/>
        </w:rPr>
      </w:pPr>
    </w:p>
    <w:p w14:paraId="52EA8F2D" w14:textId="77777777" w:rsidR="0020214C" w:rsidRDefault="003F4C7F">
      <w:pPr>
        <w:jc w:val="center"/>
        <w:rPr>
          <w:sz w:val="18"/>
          <w:szCs w:val="18"/>
        </w:rPr>
      </w:pPr>
      <w:r>
        <w:rPr>
          <w:sz w:val="18"/>
          <w:szCs w:val="18"/>
        </w:rPr>
        <w:t>Table 5: Real Life Performance - Stock vs. Option from 2018-05-24 until 2019-05-24</w:t>
      </w:r>
    </w:p>
    <w:p w14:paraId="0B83960F" w14:textId="77777777" w:rsidR="0020214C" w:rsidRDefault="003F4C7F">
      <w:pPr>
        <w:jc w:val="center"/>
        <w:rPr>
          <w:sz w:val="18"/>
          <w:szCs w:val="18"/>
        </w:rPr>
      </w:pPr>
      <w:r>
        <w:rPr>
          <w:noProof/>
          <w:sz w:val="18"/>
          <w:szCs w:val="18"/>
        </w:rPr>
        <w:drawing>
          <wp:inline distT="114300" distB="114300" distL="114300" distR="114300" wp14:anchorId="78C7B139" wp14:editId="1FE6BEA9">
            <wp:extent cx="3124200" cy="1362075"/>
            <wp:effectExtent l="0" t="0" r="0" b="0"/>
            <wp:docPr id="5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0"/>
                    <a:srcRect/>
                    <a:stretch>
                      <a:fillRect/>
                    </a:stretch>
                  </pic:blipFill>
                  <pic:spPr>
                    <a:xfrm>
                      <a:off x="0" y="0"/>
                      <a:ext cx="3124200" cy="1362075"/>
                    </a:xfrm>
                    <a:prstGeom prst="rect">
                      <a:avLst/>
                    </a:prstGeom>
                    <a:ln/>
                  </pic:spPr>
                </pic:pic>
              </a:graphicData>
            </a:graphic>
          </wp:inline>
        </w:drawing>
      </w:r>
    </w:p>
    <w:p w14:paraId="5220665C" w14:textId="77777777" w:rsidR="0020214C" w:rsidRDefault="003F4C7F">
      <w:pPr>
        <w:pStyle w:val="Heading1"/>
        <w:pBdr>
          <w:top w:val="nil"/>
          <w:left w:val="nil"/>
          <w:bottom w:val="nil"/>
          <w:right w:val="nil"/>
          <w:between w:val="nil"/>
        </w:pBdr>
        <w:jc w:val="center"/>
        <w:rPr>
          <w:color w:val="38761D"/>
        </w:rPr>
      </w:pPr>
      <w:bookmarkStart w:id="5" w:name="_9fnnvmfj736a" w:colFirst="0" w:colLast="0"/>
      <w:bookmarkEnd w:id="5"/>
      <w:r>
        <w:br w:type="page"/>
      </w:r>
    </w:p>
    <w:p w14:paraId="4003B801" w14:textId="77777777" w:rsidR="0020214C" w:rsidRDefault="003F4C7F">
      <w:pPr>
        <w:pStyle w:val="Heading1"/>
        <w:pBdr>
          <w:top w:val="nil"/>
          <w:left w:val="nil"/>
          <w:bottom w:val="nil"/>
          <w:right w:val="nil"/>
          <w:between w:val="nil"/>
        </w:pBdr>
        <w:jc w:val="both"/>
        <w:rPr>
          <w:color w:val="38761D"/>
        </w:rPr>
      </w:pPr>
      <w:bookmarkStart w:id="6" w:name="_dni33xrtkkxe" w:colFirst="0" w:colLast="0"/>
      <w:bookmarkEnd w:id="6"/>
      <w:r>
        <w:rPr>
          <w:color w:val="38761D"/>
        </w:rPr>
        <w:lastRenderedPageBreak/>
        <w:t>Results</w:t>
      </w:r>
    </w:p>
    <w:p w14:paraId="69B6DD5F" w14:textId="77777777" w:rsidR="0020214C" w:rsidRDefault="003F4C7F">
      <w:pPr>
        <w:pStyle w:val="Heading2"/>
        <w:rPr>
          <w:color w:val="4A86E8"/>
          <w:sz w:val="28"/>
          <w:szCs w:val="28"/>
        </w:rPr>
      </w:pPr>
      <w:bookmarkStart w:id="7" w:name="_yuk6yhomqn00" w:colFirst="0" w:colLast="0"/>
      <w:bookmarkEnd w:id="7"/>
      <w:r>
        <w:rPr>
          <w:color w:val="4A86E8"/>
          <w:sz w:val="28"/>
          <w:szCs w:val="28"/>
        </w:rPr>
        <w:t xml:space="preserve">The Bullish </w:t>
      </w:r>
      <w:proofErr w:type="spellStart"/>
      <w:r>
        <w:rPr>
          <w:color w:val="4A86E8"/>
          <w:sz w:val="28"/>
          <w:szCs w:val="28"/>
        </w:rPr>
        <w:t>UberMix</w:t>
      </w:r>
      <w:proofErr w:type="spellEnd"/>
      <w:r>
        <w:rPr>
          <w:color w:val="4A86E8"/>
          <w:sz w:val="28"/>
          <w:szCs w:val="28"/>
        </w:rPr>
        <w:t xml:space="preserve"> Basket</w:t>
      </w:r>
    </w:p>
    <w:p w14:paraId="27576BA4" w14:textId="77777777" w:rsidR="0020214C" w:rsidRDefault="0020214C"/>
    <w:p w14:paraId="5FC93C28" w14:textId="77777777" w:rsidR="0020214C" w:rsidRDefault="003F4C7F">
      <w:pPr>
        <w:jc w:val="both"/>
        <w:rPr>
          <w:b/>
        </w:rPr>
      </w:pPr>
      <w:r>
        <w:t xml:space="preserve">As it was concluded in the previous section, we believe that it is unnecessary to distinguish between ‘Only Short Volatility’ and ‘Short Volatility + Long Market Basket’ days. It is </w:t>
      </w:r>
      <w:r>
        <w:rPr>
          <w:b/>
        </w:rPr>
        <w:t xml:space="preserve">enough to separate bullish and bearish days </w:t>
      </w:r>
      <w:r>
        <w:t>(and all of the previously sel</w:t>
      </w:r>
      <w:r>
        <w:t xml:space="preserve">ected ETPs should be played on bullish days). Thus, it is needless to create both ‘Short Volatility’ and ‘Long Market’ basket separated. Our goal is to create a bullish </w:t>
      </w:r>
      <w:r>
        <w:rPr>
          <w:b/>
        </w:rPr>
        <w:t>‘</w:t>
      </w:r>
      <w:proofErr w:type="spellStart"/>
      <w:r>
        <w:rPr>
          <w:b/>
        </w:rPr>
        <w:t>UberMix</w:t>
      </w:r>
      <w:proofErr w:type="spellEnd"/>
      <w:r>
        <w:rPr>
          <w:b/>
        </w:rPr>
        <w:t>’ basket which contains short volatility, long market and hedge ETPs as well</w:t>
      </w:r>
      <w:r>
        <w:t>. I</w:t>
      </w:r>
      <w:r>
        <w:t xml:space="preserve">t was observed in the previous chapter that </w:t>
      </w:r>
      <w:r>
        <w:rPr>
          <w:b/>
        </w:rPr>
        <w:t>trading options instead of stocks hindered the performance of the strategy</w:t>
      </w:r>
      <w:r>
        <w:t>. It would be</w:t>
      </w:r>
      <w:r>
        <w:rPr>
          <w:b/>
        </w:rPr>
        <w:t xml:space="preserve"> better to trade stocks only</w:t>
      </w:r>
      <w:r>
        <w:t xml:space="preserve">. For that purpose, we intend to </w:t>
      </w:r>
      <w:r>
        <w:rPr>
          <w:b/>
        </w:rPr>
        <w:t>decrease the risk of the basket</w:t>
      </w:r>
      <w:r>
        <w:t>. Compared to the ETP allocations</w:t>
      </w:r>
      <w:r>
        <w:t xml:space="preserve"> used in the current Uber strategy, </w:t>
      </w:r>
      <w:r>
        <w:rPr>
          <w:b/>
        </w:rPr>
        <w:t>our goal was decreasing the VXX weight while simultaneously increasing the weights of TQQQ, UPRO</w:t>
      </w:r>
      <w:r>
        <w:t xml:space="preserve">. Thus, </w:t>
      </w:r>
      <w:r>
        <w:rPr>
          <w:b/>
        </w:rPr>
        <w:t>making the basket safer for occasional volatility jumping days.</w:t>
      </w:r>
    </w:p>
    <w:p w14:paraId="4615B29B" w14:textId="77777777" w:rsidR="0020214C" w:rsidRDefault="0020214C">
      <w:pPr>
        <w:jc w:val="both"/>
      </w:pPr>
    </w:p>
    <w:p w14:paraId="4971C99D" w14:textId="77777777" w:rsidR="0020214C" w:rsidRDefault="003F4C7F">
      <w:pPr>
        <w:jc w:val="both"/>
      </w:pPr>
      <w:r>
        <w:t xml:space="preserve">Our first recommendation is the following </w:t>
      </w:r>
      <w:r>
        <w:rPr>
          <w:b/>
        </w:rPr>
        <w:t>‘</w:t>
      </w:r>
      <w:proofErr w:type="spellStart"/>
      <w:r>
        <w:rPr>
          <w:b/>
        </w:rPr>
        <w:t>UberMix</w:t>
      </w:r>
      <w:proofErr w:type="spellEnd"/>
      <w:r>
        <w:rPr>
          <w:b/>
        </w:rPr>
        <w:t>’</w:t>
      </w:r>
      <w:r>
        <w:t xml:space="preserve"> basket for bullish days (100% long VXX has remained on bearish days):</w:t>
      </w:r>
    </w:p>
    <w:p w14:paraId="2D5055B1" w14:textId="77777777" w:rsidR="0020214C" w:rsidRDefault="003F4C7F">
      <w:pPr>
        <w:numPr>
          <w:ilvl w:val="0"/>
          <w:numId w:val="9"/>
        </w:numPr>
        <w:spacing w:before="120" w:line="271" w:lineRule="auto"/>
        <w:jc w:val="both"/>
      </w:pPr>
      <w:r>
        <w:rPr>
          <w:b/>
        </w:rPr>
        <w:t>30% long UPRO</w:t>
      </w:r>
      <w:r>
        <w:t xml:space="preserve"> (3x long SPY);</w:t>
      </w:r>
    </w:p>
    <w:p w14:paraId="7DF42FFA" w14:textId="77777777" w:rsidR="0020214C" w:rsidRDefault="003F4C7F">
      <w:pPr>
        <w:numPr>
          <w:ilvl w:val="0"/>
          <w:numId w:val="9"/>
        </w:numPr>
        <w:spacing w:before="80" w:line="273" w:lineRule="auto"/>
        <w:jc w:val="both"/>
      </w:pPr>
      <w:r>
        <w:rPr>
          <w:b/>
        </w:rPr>
        <w:t>30% long TQQQ</w:t>
      </w:r>
      <w:r>
        <w:t xml:space="preserve"> (3x long QQQ);</w:t>
      </w:r>
    </w:p>
    <w:p w14:paraId="1BE1915E" w14:textId="77777777" w:rsidR="0020214C" w:rsidRDefault="003F4C7F">
      <w:pPr>
        <w:numPr>
          <w:ilvl w:val="0"/>
          <w:numId w:val="9"/>
        </w:numPr>
        <w:spacing w:before="80" w:line="273" w:lineRule="auto"/>
        <w:jc w:val="both"/>
      </w:pPr>
      <w:r>
        <w:rPr>
          <w:b/>
        </w:rPr>
        <w:t>20% short VXX</w:t>
      </w:r>
      <w:r>
        <w:t xml:space="preserve"> (or the corresponding 40% long SVXY (0.5x short VXX) for even safer trading; or a mix of short VXX + SVXY);</w:t>
      </w:r>
    </w:p>
    <w:p w14:paraId="37928D41" w14:textId="77777777" w:rsidR="0020214C" w:rsidRDefault="003F4C7F">
      <w:pPr>
        <w:numPr>
          <w:ilvl w:val="0"/>
          <w:numId w:val="9"/>
        </w:numPr>
        <w:spacing w:before="80" w:line="273" w:lineRule="auto"/>
        <w:jc w:val="both"/>
      </w:pPr>
      <w:r>
        <w:rPr>
          <w:b/>
        </w:rPr>
        <w:t>10% s</w:t>
      </w:r>
      <w:r>
        <w:rPr>
          <w:b/>
        </w:rPr>
        <w:t>hort TMV</w:t>
      </w:r>
      <w:r>
        <w:t xml:space="preserve"> (3x long TLT);</w:t>
      </w:r>
    </w:p>
    <w:p w14:paraId="0C41C2BE" w14:textId="77777777" w:rsidR="0020214C" w:rsidRDefault="003F4C7F">
      <w:pPr>
        <w:numPr>
          <w:ilvl w:val="0"/>
          <w:numId w:val="9"/>
        </w:numPr>
        <w:spacing w:before="80" w:line="273" w:lineRule="auto"/>
        <w:jc w:val="both"/>
      </w:pPr>
      <w:r>
        <w:rPr>
          <w:b/>
        </w:rPr>
        <w:t>5% short UGAZ</w:t>
      </w:r>
      <w:r>
        <w:t xml:space="preserve"> (3x short UNG) and</w:t>
      </w:r>
    </w:p>
    <w:p w14:paraId="51D8BB7A" w14:textId="77777777" w:rsidR="0020214C" w:rsidRDefault="003F4C7F">
      <w:pPr>
        <w:numPr>
          <w:ilvl w:val="0"/>
          <w:numId w:val="9"/>
        </w:numPr>
        <w:spacing w:before="80" w:line="273" w:lineRule="auto"/>
        <w:jc w:val="both"/>
      </w:pPr>
      <w:r>
        <w:rPr>
          <w:b/>
        </w:rPr>
        <w:t>5% short UWT</w:t>
      </w:r>
      <w:r>
        <w:t xml:space="preserve"> (3x short USO).</w:t>
      </w:r>
    </w:p>
    <w:p w14:paraId="029D29F7" w14:textId="77777777" w:rsidR="0020214C" w:rsidRDefault="0020214C">
      <w:pPr>
        <w:spacing w:before="80" w:line="273" w:lineRule="auto"/>
        <w:jc w:val="both"/>
      </w:pPr>
    </w:p>
    <w:p w14:paraId="625F98C2" w14:textId="77777777" w:rsidR="0020214C" w:rsidRDefault="003F4C7F">
      <w:pPr>
        <w:spacing w:before="80" w:line="273" w:lineRule="auto"/>
        <w:jc w:val="both"/>
      </w:pPr>
      <w:r>
        <w:t xml:space="preserve">It is worth emphasizing that these are </w:t>
      </w:r>
      <w:r>
        <w:rPr>
          <w:b/>
        </w:rPr>
        <w:t>not optimized weights</w:t>
      </w:r>
      <w:r>
        <w:t xml:space="preserve"> but are based on out trading experience.</w:t>
      </w:r>
    </w:p>
    <w:p w14:paraId="087434E1" w14:textId="77777777" w:rsidR="0020214C" w:rsidRDefault="0020214C">
      <w:pPr>
        <w:spacing w:before="80" w:line="273" w:lineRule="auto"/>
        <w:jc w:val="both"/>
      </w:pPr>
    </w:p>
    <w:p w14:paraId="6D1D6384" w14:textId="77777777" w:rsidR="0020214C" w:rsidRDefault="003F4C7F">
      <w:pPr>
        <w:spacing w:before="80" w:line="273" w:lineRule="auto"/>
        <w:jc w:val="both"/>
      </w:pPr>
      <w:r>
        <w:t xml:space="preserve">The following charts and tables show the </w:t>
      </w:r>
      <w:r>
        <w:rPr>
          <w:b/>
        </w:rPr>
        <w:t>buy and hold performance of these ETPs</w:t>
      </w:r>
      <w:r>
        <w:t xml:space="preserve"> (and their unleveraged versions - these tables can be found in </w:t>
      </w:r>
      <w:hyperlink w:anchor="_ercjsz2psy03">
        <w:r>
          <w:rPr>
            <w:color w:val="1155CC"/>
            <w:u w:val="single"/>
          </w:rPr>
          <w:t>Appendix</w:t>
        </w:r>
      </w:hyperlink>
      <w:r>
        <w:t xml:space="preserve">) </w:t>
      </w:r>
      <w:r>
        <w:rPr>
          <w:b/>
        </w:rPr>
        <w:t xml:space="preserve">and the </w:t>
      </w:r>
      <w:proofErr w:type="spellStart"/>
      <w:r>
        <w:rPr>
          <w:b/>
        </w:rPr>
        <w:t>UberMix</w:t>
      </w:r>
      <w:proofErr w:type="spellEnd"/>
      <w:r>
        <w:rPr>
          <w:b/>
        </w:rPr>
        <w:t xml:space="preserve"> basket</w:t>
      </w:r>
      <w:r>
        <w:t xml:space="preserve"> (with and without hedges). It can be clearly seen that the</w:t>
      </w:r>
      <w:r>
        <w:rPr>
          <w:b/>
        </w:rPr>
        <w:t xml:space="preserve"> </w:t>
      </w:r>
      <w:proofErr w:type="spellStart"/>
      <w:r>
        <w:rPr>
          <w:b/>
        </w:rPr>
        <w:t>UberMix</w:t>
      </w:r>
      <w:proofErr w:type="spellEnd"/>
      <w:r>
        <w:rPr>
          <w:b/>
        </w:rPr>
        <w:t xml:space="preserve"> basket has the highest Sharpe- and MAR ratio</w:t>
      </w:r>
      <w:r>
        <w:t>. Before the big ‘</w:t>
      </w:r>
      <w:proofErr w:type="spellStart"/>
      <w:r>
        <w:t>Volmageddon</w:t>
      </w:r>
      <w:proofErr w:type="spellEnd"/>
      <w:r>
        <w:t xml:space="preserve">’ panic on 2018-02-05, our previous </w:t>
      </w:r>
      <w:proofErr w:type="spellStart"/>
      <w:r>
        <w:t>UberVXX</w:t>
      </w:r>
      <w:proofErr w:type="spellEnd"/>
      <w:r>
        <w:t xml:space="preserve"> strategy was played with short VXX or long XIV on bullish days. As it c</w:t>
      </w:r>
      <w:r>
        <w:t xml:space="preserve">an be seen in Table 6a and 6c, this new </w:t>
      </w:r>
      <w:proofErr w:type="spellStart"/>
      <w:r>
        <w:t>UberMix</w:t>
      </w:r>
      <w:proofErr w:type="spellEnd"/>
      <w:r>
        <w:t xml:space="preserve"> basket is much better trading instrument than the short VXX alone:</w:t>
      </w:r>
    </w:p>
    <w:p w14:paraId="1B7FBF9C" w14:textId="77777777" w:rsidR="0020214C" w:rsidRDefault="003F4C7F">
      <w:pPr>
        <w:numPr>
          <w:ilvl w:val="0"/>
          <w:numId w:val="2"/>
        </w:numPr>
        <w:spacing w:before="80" w:line="273" w:lineRule="auto"/>
        <w:jc w:val="both"/>
      </w:pPr>
      <w:proofErr w:type="spellStart"/>
      <w:r>
        <w:rPr>
          <w:b/>
        </w:rPr>
        <w:t>UberMix</w:t>
      </w:r>
      <w:proofErr w:type="spellEnd"/>
      <w:r>
        <w:rPr>
          <w:b/>
        </w:rPr>
        <w:t xml:space="preserve"> is more diversified</w:t>
      </w:r>
      <w:r>
        <w:rPr>
          <w:rFonts w:ascii="Arial Unicode MS" w:eastAsia="Arial Unicode MS" w:hAnsi="Arial Unicode MS" w:cs="Arial Unicode MS"/>
        </w:rPr>
        <w:t xml:space="preserve"> ⇒ lower volatility and risk (much lower concentration risk), </w:t>
      </w:r>
      <w:r>
        <w:rPr>
          <w:b/>
        </w:rPr>
        <w:t>much safer</w:t>
      </w:r>
      <w:r>
        <w:t>;</w:t>
      </w:r>
    </w:p>
    <w:p w14:paraId="0EE67281" w14:textId="77777777" w:rsidR="0020214C" w:rsidRDefault="003F4C7F">
      <w:pPr>
        <w:numPr>
          <w:ilvl w:val="0"/>
          <w:numId w:val="2"/>
        </w:numPr>
        <w:spacing w:line="273" w:lineRule="auto"/>
        <w:jc w:val="both"/>
      </w:pPr>
      <w:r>
        <w:rPr>
          <w:b/>
        </w:rPr>
        <w:t>CAGRs are almost the same</w:t>
      </w:r>
      <w:r>
        <w:t>: 26.93% (</w:t>
      </w:r>
      <w:proofErr w:type="spellStart"/>
      <w:r>
        <w:t>UberM</w:t>
      </w:r>
      <w:r>
        <w:t>ix</w:t>
      </w:r>
      <w:proofErr w:type="spellEnd"/>
      <w:r>
        <w:t>) vs. 29.28% (</w:t>
      </w:r>
      <w:proofErr w:type="spellStart"/>
      <w:r>
        <w:t>ShortVXX</w:t>
      </w:r>
      <w:proofErr w:type="spellEnd"/>
      <w:r>
        <w:t>);</w:t>
      </w:r>
    </w:p>
    <w:p w14:paraId="39C3867F" w14:textId="77777777" w:rsidR="0020214C" w:rsidRDefault="003F4C7F">
      <w:pPr>
        <w:numPr>
          <w:ilvl w:val="0"/>
          <w:numId w:val="2"/>
        </w:numPr>
        <w:spacing w:line="273" w:lineRule="auto"/>
        <w:jc w:val="both"/>
      </w:pPr>
      <w:r>
        <w:rPr>
          <w:b/>
        </w:rPr>
        <w:t xml:space="preserve">both Sharpe- and MAR Ratio are slightly higher in case of </w:t>
      </w:r>
      <w:proofErr w:type="spellStart"/>
      <w:r>
        <w:rPr>
          <w:b/>
        </w:rPr>
        <w:t>UberMix</w:t>
      </w:r>
      <w:proofErr w:type="spellEnd"/>
      <w:r>
        <w:t xml:space="preserve"> (0.83 and 0.34 vs. 0.77 and 0.32);</w:t>
      </w:r>
    </w:p>
    <w:p w14:paraId="1D0B827E" w14:textId="77777777" w:rsidR="0020214C" w:rsidRDefault="003F4C7F">
      <w:pPr>
        <w:numPr>
          <w:ilvl w:val="0"/>
          <w:numId w:val="2"/>
        </w:numPr>
        <w:spacing w:line="273" w:lineRule="auto"/>
        <w:jc w:val="both"/>
        <w:rPr>
          <w:b/>
        </w:rPr>
      </w:pPr>
      <w:proofErr w:type="spellStart"/>
      <w:r>
        <w:rPr>
          <w:b/>
        </w:rPr>
        <w:t>UberMix</w:t>
      </w:r>
      <w:proofErr w:type="spellEnd"/>
      <w:r>
        <w:rPr>
          <w:b/>
        </w:rPr>
        <w:t xml:space="preserve"> had only 2 losing years </w:t>
      </w:r>
      <w:r>
        <w:t>(2008 and 2018)</w:t>
      </w:r>
      <w:r>
        <w:rPr>
          <w:vertAlign w:val="superscript"/>
        </w:rPr>
        <w:footnoteReference w:id="1"/>
      </w:r>
      <w:r>
        <w:rPr>
          <w:b/>
        </w:rPr>
        <w:t xml:space="preserve"> out of the 16 examined years, while </w:t>
      </w:r>
      <w:proofErr w:type="spellStart"/>
      <w:r>
        <w:rPr>
          <w:b/>
        </w:rPr>
        <w:t>ShortVXX</w:t>
      </w:r>
      <w:proofErr w:type="spellEnd"/>
      <w:r>
        <w:rPr>
          <w:b/>
        </w:rPr>
        <w:t xml:space="preserve"> had 6;</w:t>
      </w:r>
    </w:p>
    <w:p w14:paraId="5D99D2C5" w14:textId="77777777" w:rsidR="0020214C" w:rsidRDefault="003F4C7F">
      <w:pPr>
        <w:numPr>
          <w:ilvl w:val="0"/>
          <w:numId w:val="2"/>
        </w:numPr>
        <w:spacing w:line="273" w:lineRule="auto"/>
        <w:jc w:val="both"/>
      </w:pPr>
      <w:r>
        <w:rPr>
          <w:b/>
        </w:rPr>
        <w:t>Maximum Drawdown is also b</w:t>
      </w:r>
      <w:r>
        <w:rPr>
          <w:b/>
        </w:rPr>
        <w:t xml:space="preserve">etter (lower) in case of </w:t>
      </w:r>
      <w:proofErr w:type="spellStart"/>
      <w:r>
        <w:rPr>
          <w:b/>
        </w:rPr>
        <w:t>UberMix</w:t>
      </w:r>
      <w:proofErr w:type="spellEnd"/>
      <w:r>
        <w:t>.</w:t>
      </w:r>
    </w:p>
    <w:p w14:paraId="7137B5D7" w14:textId="77777777" w:rsidR="0020214C" w:rsidRDefault="0020214C">
      <w:pPr>
        <w:spacing w:before="80" w:line="273" w:lineRule="auto"/>
        <w:jc w:val="both"/>
      </w:pPr>
    </w:p>
    <w:p w14:paraId="0147F6FD" w14:textId="77777777" w:rsidR="0020214C" w:rsidRDefault="003F4C7F">
      <w:pPr>
        <w:spacing w:before="80" w:line="273" w:lineRule="auto"/>
        <w:jc w:val="both"/>
        <w:rPr>
          <w:b/>
        </w:rPr>
      </w:pPr>
      <w:r>
        <w:t xml:space="preserve">In our opinion, based on the above findings, this </w:t>
      </w:r>
      <w:proofErr w:type="spellStart"/>
      <w:r>
        <w:rPr>
          <w:b/>
        </w:rPr>
        <w:t>UberMix</w:t>
      </w:r>
      <w:proofErr w:type="spellEnd"/>
      <w:r>
        <w:rPr>
          <w:b/>
        </w:rPr>
        <w:t xml:space="preserve"> basket should be played on bullish, while long VXX on bearish days.</w:t>
      </w:r>
    </w:p>
    <w:p w14:paraId="40DB0161" w14:textId="77777777" w:rsidR="0020214C" w:rsidRDefault="003F4C7F">
      <w:pPr>
        <w:jc w:val="center"/>
      </w:pPr>
      <w:r>
        <w:rPr>
          <w:sz w:val="18"/>
          <w:szCs w:val="18"/>
        </w:rPr>
        <w:lastRenderedPageBreak/>
        <w:t xml:space="preserve">Chart 1: PV of </w:t>
      </w:r>
      <w:proofErr w:type="spellStart"/>
      <w:r>
        <w:rPr>
          <w:sz w:val="18"/>
          <w:szCs w:val="18"/>
        </w:rPr>
        <w:t>Buy&amp;Hold</w:t>
      </w:r>
      <w:proofErr w:type="spellEnd"/>
      <w:r>
        <w:rPr>
          <w:sz w:val="18"/>
          <w:szCs w:val="18"/>
        </w:rPr>
        <w:t xml:space="preserve"> Strategy Using Different ETFs</w:t>
      </w:r>
    </w:p>
    <w:p w14:paraId="2CD0CC4B" w14:textId="77777777" w:rsidR="0020214C" w:rsidRDefault="003F4C7F">
      <w:pPr>
        <w:jc w:val="center"/>
        <w:rPr>
          <w:sz w:val="18"/>
          <w:szCs w:val="18"/>
        </w:rPr>
      </w:pPr>
      <w:r>
        <w:rPr>
          <w:noProof/>
          <w:sz w:val="18"/>
          <w:szCs w:val="18"/>
        </w:rPr>
        <w:drawing>
          <wp:inline distT="114300" distB="114300" distL="114300" distR="114300" wp14:anchorId="722D230C" wp14:editId="48A67267">
            <wp:extent cx="7052400" cy="4318000"/>
            <wp:effectExtent l="0" t="0" r="0" b="0"/>
            <wp:docPr id="4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1"/>
                    <a:srcRect/>
                    <a:stretch>
                      <a:fillRect/>
                    </a:stretch>
                  </pic:blipFill>
                  <pic:spPr>
                    <a:xfrm>
                      <a:off x="0" y="0"/>
                      <a:ext cx="7052400" cy="4318000"/>
                    </a:xfrm>
                    <a:prstGeom prst="rect">
                      <a:avLst/>
                    </a:prstGeom>
                    <a:ln/>
                  </pic:spPr>
                </pic:pic>
              </a:graphicData>
            </a:graphic>
          </wp:inline>
        </w:drawing>
      </w:r>
    </w:p>
    <w:p w14:paraId="613A2752" w14:textId="77777777" w:rsidR="0020214C" w:rsidRDefault="0020214C">
      <w:pPr>
        <w:jc w:val="center"/>
        <w:rPr>
          <w:sz w:val="18"/>
          <w:szCs w:val="18"/>
        </w:rPr>
      </w:pPr>
    </w:p>
    <w:p w14:paraId="0F0358F9" w14:textId="77777777" w:rsidR="0020214C" w:rsidRDefault="003F4C7F">
      <w:pPr>
        <w:jc w:val="center"/>
        <w:rPr>
          <w:sz w:val="18"/>
          <w:szCs w:val="18"/>
        </w:rPr>
      </w:pPr>
      <w:r>
        <w:rPr>
          <w:sz w:val="18"/>
          <w:szCs w:val="18"/>
        </w:rPr>
        <w:t xml:space="preserve">Chart 1a: PV of </w:t>
      </w:r>
      <w:proofErr w:type="spellStart"/>
      <w:r>
        <w:rPr>
          <w:sz w:val="18"/>
          <w:szCs w:val="18"/>
        </w:rPr>
        <w:t>Buy&amp;Hold</w:t>
      </w:r>
      <w:proofErr w:type="spellEnd"/>
      <w:r>
        <w:rPr>
          <w:sz w:val="18"/>
          <w:szCs w:val="18"/>
        </w:rPr>
        <w:t xml:space="preserve"> Strategy Usin</w:t>
      </w:r>
      <w:r>
        <w:rPr>
          <w:sz w:val="18"/>
          <w:szCs w:val="18"/>
        </w:rPr>
        <w:t>g Different ETFs - logarithmic scale</w:t>
      </w:r>
    </w:p>
    <w:p w14:paraId="0E78F651" w14:textId="77777777" w:rsidR="0020214C" w:rsidRDefault="003F4C7F">
      <w:pPr>
        <w:jc w:val="center"/>
        <w:rPr>
          <w:sz w:val="18"/>
          <w:szCs w:val="18"/>
        </w:rPr>
      </w:pPr>
      <w:r>
        <w:rPr>
          <w:noProof/>
          <w:sz w:val="18"/>
          <w:szCs w:val="18"/>
        </w:rPr>
        <w:lastRenderedPageBreak/>
        <w:drawing>
          <wp:inline distT="114300" distB="114300" distL="114300" distR="114300" wp14:anchorId="347FBAC0" wp14:editId="232C2FB8">
            <wp:extent cx="7052400" cy="431800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7052400" cy="4318000"/>
                    </a:xfrm>
                    <a:prstGeom prst="rect">
                      <a:avLst/>
                    </a:prstGeom>
                    <a:ln/>
                  </pic:spPr>
                </pic:pic>
              </a:graphicData>
            </a:graphic>
          </wp:inline>
        </w:drawing>
      </w:r>
    </w:p>
    <w:p w14:paraId="518E3B32" w14:textId="77777777" w:rsidR="0020214C" w:rsidRDefault="003F4C7F">
      <w:pPr>
        <w:jc w:val="center"/>
        <w:rPr>
          <w:sz w:val="18"/>
          <w:szCs w:val="18"/>
        </w:rPr>
      </w:pPr>
      <w:r>
        <w:rPr>
          <w:sz w:val="18"/>
          <w:szCs w:val="18"/>
        </w:rPr>
        <w:t xml:space="preserve">Chart 2: PV of </w:t>
      </w:r>
      <w:proofErr w:type="spellStart"/>
      <w:r>
        <w:rPr>
          <w:sz w:val="18"/>
          <w:szCs w:val="18"/>
        </w:rPr>
        <w:t>Buy&amp;Hold</w:t>
      </w:r>
      <w:proofErr w:type="spellEnd"/>
      <w:r>
        <w:rPr>
          <w:sz w:val="18"/>
          <w:szCs w:val="18"/>
        </w:rPr>
        <w:t xml:space="preserve"> Strategy Using Different ETFs</w:t>
      </w:r>
    </w:p>
    <w:p w14:paraId="5881C8BA" w14:textId="77777777" w:rsidR="0020214C" w:rsidRDefault="003F4C7F">
      <w:pPr>
        <w:jc w:val="center"/>
        <w:rPr>
          <w:sz w:val="18"/>
          <w:szCs w:val="18"/>
        </w:rPr>
      </w:pPr>
      <w:r>
        <w:rPr>
          <w:noProof/>
          <w:sz w:val="18"/>
          <w:szCs w:val="18"/>
        </w:rPr>
        <w:drawing>
          <wp:inline distT="114300" distB="114300" distL="114300" distR="114300" wp14:anchorId="712F62C2" wp14:editId="41ECA02B">
            <wp:extent cx="7052400" cy="4318000"/>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a:stretch>
                      <a:fillRect/>
                    </a:stretch>
                  </pic:blipFill>
                  <pic:spPr>
                    <a:xfrm>
                      <a:off x="0" y="0"/>
                      <a:ext cx="7052400" cy="4318000"/>
                    </a:xfrm>
                    <a:prstGeom prst="rect">
                      <a:avLst/>
                    </a:prstGeom>
                    <a:ln/>
                  </pic:spPr>
                </pic:pic>
              </a:graphicData>
            </a:graphic>
          </wp:inline>
        </w:drawing>
      </w:r>
    </w:p>
    <w:p w14:paraId="05FE6011" w14:textId="77777777" w:rsidR="0020214C" w:rsidRDefault="0020214C">
      <w:pPr>
        <w:jc w:val="center"/>
        <w:rPr>
          <w:sz w:val="18"/>
          <w:szCs w:val="18"/>
        </w:rPr>
      </w:pPr>
    </w:p>
    <w:p w14:paraId="0AB80D26" w14:textId="77777777" w:rsidR="0020214C" w:rsidRDefault="003F4C7F">
      <w:pPr>
        <w:jc w:val="center"/>
        <w:rPr>
          <w:sz w:val="18"/>
          <w:szCs w:val="18"/>
        </w:rPr>
      </w:pPr>
      <w:r>
        <w:rPr>
          <w:sz w:val="18"/>
          <w:szCs w:val="18"/>
        </w:rPr>
        <w:lastRenderedPageBreak/>
        <w:t xml:space="preserve">Chart 2a: PV of </w:t>
      </w:r>
      <w:proofErr w:type="spellStart"/>
      <w:r>
        <w:rPr>
          <w:sz w:val="18"/>
          <w:szCs w:val="18"/>
        </w:rPr>
        <w:t>Buy&amp;Hold</w:t>
      </w:r>
      <w:proofErr w:type="spellEnd"/>
      <w:r>
        <w:rPr>
          <w:sz w:val="18"/>
          <w:szCs w:val="18"/>
        </w:rPr>
        <w:t xml:space="preserve"> Strategy Using Different ETFs - logarithmic scale</w:t>
      </w:r>
    </w:p>
    <w:p w14:paraId="51DD1B48" w14:textId="77777777" w:rsidR="0020214C" w:rsidRDefault="003F4C7F">
      <w:pPr>
        <w:jc w:val="center"/>
        <w:rPr>
          <w:sz w:val="18"/>
          <w:szCs w:val="18"/>
        </w:rPr>
      </w:pPr>
      <w:r>
        <w:rPr>
          <w:noProof/>
          <w:sz w:val="18"/>
          <w:szCs w:val="18"/>
        </w:rPr>
        <w:drawing>
          <wp:inline distT="114300" distB="114300" distL="114300" distR="114300" wp14:anchorId="2DC9567B" wp14:editId="200783C1">
            <wp:extent cx="7052400" cy="4318000"/>
            <wp:effectExtent l="0" t="0" r="0" b="0"/>
            <wp:docPr id="4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4"/>
                    <a:srcRect/>
                    <a:stretch>
                      <a:fillRect/>
                    </a:stretch>
                  </pic:blipFill>
                  <pic:spPr>
                    <a:xfrm>
                      <a:off x="0" y="0"/>
                      <a:ext cx="7052400" cy="4318000"/>
                    </a:xfrm>
                    <a:prstGeom prst="rect">
                      <a:avLst/>
                    </a:prstGeom>
                    <a:ln/>
                  </pic:spPr>
                </pic:pic>
              </a:graphicData>
            </a:graphic>
          </wp:inline>
        </w:drawing>
      </w:r>
    </w:p>
    <w:p w14:paraId="2A6C8701" w14:textId="77777777" w:rsidR="0020214C" w:rsidRDefault="003F4C7F">
      <w:pPr>
        <w:jc w:val="center"/>
        <w:rPr>
          <w:sz w:val="18"/>
          <w:szCs w:val="18"/>
        </w:rPr>
      </w:pPr>
      <w:r>
        <w:rPr>
          <w:sz w:val="18"/>
          <w:szCs w:val="18"/>
        </w:rPr>
        <w:t xml:space="preserve">Chart 3: PV of </w:t>
      </w:r>
      <w:proofErr w:type="spellStart"/>
      <w:r>
        <w:rPr>
          <w:sz w:val="18"/>
          <w:szCs w:val="18"/>
        </w:rPr>
        <w:t>Buy&amp;Hold</w:t>
      </w:r>
      <w:proofErr w:type="spellEnd"/>
      <w:r>
        <w:rPr>
          <w:sz w:val="18"/>
          <w:szCs w:val="18"/>
        </w:rPr>
        <w:t xml:space="preserve"> Strategy Using Different ETFs</w:t>
      </w:r>
    </w:p>
    <w:p w14:paraId="2083EFC8" w14:textId="77777777" w:rsidR="0020214C" w:rsidRDefault="003F4C7F">
      <w:pPr>
        <w:jc w:val="center"/>
        <w:rPr>
          <w:sz w:val="18"/>
          <w:szCs w:val="18"/>
        </w:rPr>
      </w:pPr>
      <w:r>
        <w:rPr>
          <w:noProof/>
          <w:sz w:val="18"/>
          <w:szCs w:val="18"/>
        </w:rPr>
        <w:drawing>
          <wp:inline distT="114300" distB="114300" distL="114300" distR="114300" wp14:anchorId="5B563923" wp14:editId="15DACC22">
            <wp:extent cx="7052400" cy="4318000"/>
            <wp:effectExtent l="0" t="0" r="0" b="0"/>
            <wp:docPr id="5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5"/>
                    <a:srcRect/>
                    <a:stretch>
                      <a:fillRect/>
                    </a:stretch>
                  </pic:blipFill>
                  <pic:spPr>
                    <a:xfrm>
                      <a:off x="0" y="0"/>
                      <a:ext cx="7052400" cy="4318000"/>
                    </a:xfrm>
                    <a:prstGeom prst="rect">
                      <a:avLst/>
                    </a:prstGeom>
                    <a:ln/>
                  </pic:spPr>
                </pic:pic>
              </a:graphicData>
            </a:graphic>
          </wp:inline>
        </w:drawing>
      </w:r>
    </w:p>
    <w:p w14:paraId="00928AE6" w14:textId="77777777" w:rsidR="0020214C" w:rsidRDefault="0020214C">
      <w:pPr>
        <w:jc w:val="center"/>
        <w:rPr>
          <w:sz w:val="18"/>
          <w:szCs w:val="18"/>
        </w:rPr>
      </w:pPr>
    </w:p>
    <w:p w14:paraId="10E758B9" w14:textId="77777777" w:rsidR="0020214C" w:rsidRDefault="003F4C7F">
      <w:pPr>
        <w:jc w:val="center"/>
        <w:rPr>
          <w:sz w:val="18"/>
          <w:szCs w:val="18"/>
        </w:rPr>
      </w:pPr>
      <w:r>
        <w:rPr>
          <w:sz w:val="18"/>
          <w:szCs w:val="18"/>
        </w:rPr>
        <w:t xml:space="preserve">Chart 3a: PV of </w:t>
      </w:r>
      <w:proofErr w:type="spellStart"/>
      <w:r>
        <w:rPr>
          <w:sz w:val="18"/>
          <w:szCs w:val="18"/>
        </w:rPr>
        <w:t>Buy&amp;Hold</w:t>
      </w:r>
      <w:proofErr w:type="spellEnd"/>
      <w:r>
        <w:rPr>
          <w:sz w:val="18"/>
          <w:szCs w:val="18"/>
        </w:rPr>
        <w:t xml:space="preserve"> Strategy Using Different ETFs - logarithmic scale</w:t>
      </w:r>
    </w:p>
    <w:p w14:paraId="16436968" w14:textId="77777777" w:rsidR="0020214C" w:rsidRDefault="003F4C7F">
      <w:pPr>
        <w:jc w:val="center"/>
        <w:rPr>
          <w:sz w:val="18"/>
          <w:szCs w:val="18"/>
        </w:rPr>
      </w:pPr>
      <w:r>
        <w:rPr>
          <w:noProof/>
          <w:sz w:val="18"/>
          <w:szCs w:val="18"/>
        </w:rPr>
        <w:drawing>
          <wp:inline distT="114300" distB="114300" distL="114300" distR="114300" wp14:anchorId="05D5F4B8" wp14:editId="7C19EB71">
            <wp:extent cx="7052400" cy="4318000"/>
            <wp:effectExtent l="0" t="0" r="0" b="0"/>
            <wp:docPr id="3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6"/>
                    <a:srcRect/>
                    <a:stretch>
                      <a:fillRect/>
                    </a:stretch>
                  </pic:blipFill>
                  <pic:spPr>
                    <a:xfrm>
                      <a:off x="0" y="0"/>
                      <a:ext cx="7052400" cy="4318000"/>
                    </a:xfrm>
                    <a:prstGeom prst="rect">
                      <a:avLst/>
                    </a:prstGeom>
                    <a:ln/>
                  </pic:spPr>
                </pic:pic>
              </a:graphicData>
            </a:graphic>
          </wp:inline>
        </w:drawing>
      </w:r>
    </w:p>
    <w:p w14:paraId="332F829A" w14:textId="77777777" w:rsidR="0020214C" w:rsidRDefault="003F4C7F">
      <w:pPr>
        <w:jc w:val="center"/>
        <w:rPr>
          <w:sz w:val="18"/>
          <w:szCs w:val="18"/>
        </w:rPr>
      </w:pPr>
      <w:r>
        <w:rPr>
          <w:sz w:val="18"/>
          <w:szCs w:val="18"/>
        </w:rPr>
        <w:t xml:space="preserve">Table 6a: Performance indicators of </w:t>
      </w:r>
      <w:proofErr w:type="spellStart"/>
      <w:r>
        <w:rPr>
          <w:sz w:val="18"/>
          <w:szCs w:val="18"/>
        </w:rPr>
        <w:t>Buy&amp;Hold</w:t>
      </w:r>
      <w:proofErr w:type="spellEnd"/>
      <w:r>
        <w:rPr>
          <w:sz w:val="18"/>
          <w:szCs w:val="18"/>
        </w:rPr>
        <w:t xml:space="preserve"> </w:t>
      </w:r>
      <w:proofErr w:type="spellStart"/>
      <w:r>
        <w:rPr>
          <w:sz w:val="18"/>
          <w:szCs w:val="18"/>
        </w:rPr>
        <w:t>UberMix</w:t>
      </w:r>
      <w:proofErr w:type="spellEnd"/>
    </w:p>
    <w:p w14:paraId="40B21889" w14:textId="77777777" w:rsidR="0020214C" w:rsidRDefault="003F4C7F">
      <w:pPr>
        <w:jc w:val="center"/>
        <w:rPr>
          <w:sz w:val="18"/>
          <w:szCs w:val="18"/>
        </w:rPr>
      </w:pPr>
      <w:r>
        <w:rPr>
          <w:noProof/>
          <w:sz w:val="18"/>
          <w:szCs w:val="18"/>
        </w:rPr>
        <w:drawing>
          <wp:inline distT="114300" distB="114300" distL="114300" distR="114300" wp14:anchorId="096A3B86" wp14:editId="4B7A45B1">
            <wp:extent cx="7052400" cy="3848100"/>
            <wp:effectExtent l="0" t="0" r="0" b="0"/>
            <wp:docPr id="3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7"/>
                    <a:srcRect/>
                    <a:stretch>
                      <a:fillRect/>
                    </a:stretch>
                  </pic:blipFill>
                  <pic:spPr>
                    <a:xfrm>
                      <a:off x="0" y="0"/>
                      <a:ext cx="7052400" cy="3848100"/>
                    </a:xfrm>
                    <a:prstGeom prst="rect">
                      <a:avLst/>
                    </a:prstGeom>
                    <a:ln/>
                  </pic:spPr>
                </pic:pic>
              </a:graphicData>
            </a:graphic>
          </wp:inline>
        </w:drawing>
      </w:r>
    </w:p>
    <w:p w14:paraId="0B642603" w14:textId="77777777" w:rsidR="0020214C" w:rsidRDefault="0020214C">
      <w:pPr>
        <w:jc w:val="center"/>
        <w:rPr>
          <w:sz w:val="18"/>
          <w:szCs w:val="18"/>
        </w:rPr>
      </w:pPr>
    </w:p>
    <w:p w14:paraId="1C1301FB" w14:textId="77777777" w:rsidR="0020214C" w:rsidRDefault="003F4C7F">
      <w:pPr>
        <w:jc w:val="center"/>
        <w:rPr>
          <w:sz w:val="18"/>
          <w:szCs w:val="18"/>
        </w:rPr>
      </w:pPr>
      <w:r>
        <w:rPr>
          <w:sz w:val="18"/>
          <w:szCs w:val="18"/>
        </w:rPr>
        <w:t xml:space="preserve">Table 6b: Performance indicators of </w:t>
      </w:r>
      <w:proofErr w:type="spellStart"/>
      <w:r>
        <w:rPr>
          <w:sz w:val="18"/>
          <w:szCs w:val="18"/>
        </w:rPr>
        <w:t>Buy&amp;Hold</w:t>
      </w:r>
      <w:proofErr w:type="spellEnd"/>
      <w:r>
        <w:rPr>
          <w:sz w:val="18"/>
          <w:szCs w:val="18"/>
        </w:rPr>
        <w:t xml:space="preserve"> </w:t>
      </w:r>
      <w:proofErr w:type="spellStart"/>
      <w:r>
        <w:rPr>
          <w:sz w:val="18"/>
          <w:szCs w:val="18"/>
        </w:rPr>
        <w:t>UberMix</w:t>
      </w:r>
      <w:proofErr w:type="spellEnd"/>
      <w:r>
        <w:rPr>
          <w:sz w:val="18"/>
          <w:szCs w:val="18"/>
        </w:rPr>
        <w:t xml:space="preserve"> without Hedges</w:t>
      </w:r>
    </w:p>
    <w:p w14:paraId="203FB933" w14:textId="77777777" w:rsidR="0020214C" w:rsidRDefault="003F4C7F">
      <w:pPr>
        <w:jc w:val="center"/>
        <w:rPr>
          <w:sz w:val="18"/>
          <w:szCs w:val="18"/>
        </w:rPr>
      </w:pPr>
      <w:r>
        <w:rPr>
          <w:noProof/>
          <w:sz w:val="18"/>
          <w:szCs w:val="18"/>
        </w:rPr>
        <w:lastRenderedPageBreak/>
        <w:drawing>
          <wp:inline distT="114300" distB="114300" distL="114300" distR="114300" wp14:anchorId="2CD0721E" wp14:editId="53B6A211">
            <wp:extent cx="7052400" cy="3886200"/>
            <wp:effectExtent l="0" t="0" r="0" b="0"/>
            <wp:docPr id="3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8"/>
                    <a:srcRect/>
                    <a:stretch>
                      <a:fillRect/>
                    </a:stretch>
                  </pic:blipFill>
                  <pic:spPr>
                    <a:xfrm>
                      <a:off x="0" y="0"/>
                      <a:ext cx="7052400" cy="3886200"/>
                    </a:xfrm>
                    <a:prstGeom prst="rect">
                      <a:avLst/>
                    </a:prstGeom>
                    <a:ln/>
                  </pic:spPr>
                </pic:pic>
              </a:graphicData>
            </a:graphic>
          </wp:inline>
        </w:drawing>
      </w:r>
    </w:p>
    <w:p w14:paraId="47B0AA26" w14:textId="77777777" w:rsidR="0020214C" w:rsidRDefault="003F4C7F">
      <w:pPr>
        <w:jc w:val="center"/>
        <w:rPr>
          <w:sz w:val="18"/>
          <w:szCs w:val="18"/>
        </w:rPr>
      </w:pPr>
      <w:r>
        <w:br w:type="page"/>
      </w:r>
    </w:p>
    <w:p w14:paraId="5F7C5EBA" w14:textId="77777777" w:rsidR="0020214C" w:rsidRDefault="003F4C7F">
      <w:pPr>
        <w:jc w:val="center"/>
        <w:rPr>
          <w:sz w:val="18"/>
          <w:szCs w:val="18"/>
        </w:rPr>
      </w:pPr>
      <w:r>
        <w:rPr>
          <w:sz w:val="18"/>
          <w:szCs w:val="18"/>
        </w:rPr>
        <w:lastRenderedPageBreak/>
        <w:t xml:space="preserve">Table 6c: Performance indicators of </w:t>
      </w:r>
      <w:proofErr w:type="spellStart"/>
      <w:r>
        <w:rPr>
          <w:sz w:val="18"/>
          <w:szCs w:val="18"/>
        </w:rPr>
        <w:t>Buy&amp;Hold</w:t>
      </w:r>
      <w:proofErr w:type="spellEnd"/>
      <w:r>
        <w:rPr>
          <w:sz w:val="18"/>
          <w:szCs w:val="18"/>
        </w:rPr>
        <w:t xml:space="preserve"> </w:t>
      </w:r>
      <w:proofErr w:type="spellStart"/>
      <w:r>
        <w:rPr>
          <w:sz w:val="18"/>
          <w:szCs w:val="18"/>
        </w:rPr>
        <w:t>ShortV</w:t>
      </w:r>
      <w:r>
        <w:rPr>
          <w:sz w:val="18"/>
          <w:szCs w:val="18"/>
        </w:rPr>
        <w:t>XX</w:t>
      </w:r>
      <w:proofErr w:type="spellEnd"/>
      <w:r>
        <w:rPr>
          <w:sz w:val="18"/>
          <w:szCs w:val="18"/>
        </w:rPr>
        <w:t xml:space="preserve"> (i.e. </w:t>
      </w:r>
      <w:proofErr w:type="spellStart"/>
      <w:r>
        <w:rPr>
          <w:sz w:val="18"/>
          <w:szCs w:val="18"/>
        </w:rPr>
        <w:t>Short&amp;Rebalance</w:t>
      </w:r>
      <w:proofErr w:type="spellEnd"/>
      <w:r>
        <w:rPr>
          <w:sz w:val="18"/>
          <w:szCs w:val="18"/>
        </w:rPr>
        <w:t xml:space="preserve"> VXX)</w:t>
      </w:r>
    </w:p>
    <w:p w14:paraId="414AE721" w14:textId="77777777" w:rsidR="0020214C" w:rsidRDefault="003F4C7F">
      <w:pPr>
        <w:jc w:val="center"/>
        <w:rPr>
          <w:sz w:val="18"/>
          <w:szCs w:val="18"/>
        </w:rPr>
      </w:pPr>
      <w:r>
        <w:rPr>
          <w:noProof/>
          <w:sz w:val="18"/>
          <w:szCs w:val="18"/>
        </w:rPr>
        <w:drawing>
          <wp:inline distT="114300" distB="114300" distL="114300" distR="114300" wp14:anchorId="207456B8" wp14:editId="2A2FA3F1">
            <wp:extent cx="7052400" cy="3873500"/>
            <wp:effectExtent l="0" t="0" r="0" b="0"/>
            <wp:docPr id="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9"/>
                    <a:srcRect/>
                    <a:stretch>
                      <a:fillRect/>
                    </a:stretch>
                  </pic:blipFill>
                  <pic:spPr>
                    <a:xfrm>
                      <a:off x="0" y="0"/>
                      <a:ext cx="7052400" cy="3873500"/>
                    </a:xfrm>
                    <a:prstGeom prst="rect">
                      <a:avLst/>
                    </a:prstGeom>
                    <a:ln/>
                  </pic:spPr>
                </pic:pic>
              </a:graphicData>
            </a:graphic>
          </wp:inline>
        </w:drawing>
      </w:r>
    </w:p>
    <w:p w14:paraId="7191A37E" w14:textId="77777777" w:rsidR="0020214C" w:rsidRDefault="0020214C">
      <w:pPr>
        <w:jc w:val="center"/>
        <w:rPr>
          <w:sz w:val="18"/>
          <w:szCs w:val="18"/>
        </w:rPr>
      </w:pPr>
    </w:p>
    <w:p w14:paraId="7B3A160D" w14:textId="77777777" w:rsidR="0020214C" w:rsidRDefault="003F4C7F">
      <w:pPr>
        <w:jc w:val="center"/>
        <w:rPr>
          <w:sz w:val="18"/>
          <w:szCs w:val="18"/>
        </w:rPr>
      </w:pPr>
      <w:r>
        <w:rPr>
          <w:sz w:val="18"/>
          <w:szCs w:val="18"/>
        </w:rPr>
        <w:t xml:space="preserve">Table 6d: Performance indicators of </w:t>
      </w:r>
      <w:proofErr w:type="spellStart"/>
      <w:r>
        <w:rPr>
          <w:sz w:val="18"/>
          <w:szCs w:val="18"/>
        </w:rPr>
        <w:t>Buy&amp;Hold</w:t>
      </w:r>
      <w:proofErr w:type="spellEnd"/>
      <w:r>
        <w:rPr>
          <w:sz w:val="18"/>
          <w:szCs w:val="18"/>
        </w:rPr>
        <w:t xml:space="preserve"> SVXY (0.5x short VXX)</w:t>
      </w:r>
    </w:p>
    <w:p w14:paraId="7E6CE588" w14:textId="77777777" w:rsidR="0020214C" w:rsidRDefault="003F4C7F">
      <w:pPr>
        <w:jc w:val="center"/>
        <w:rPr>
          <w:sz w:val="18"/>
          <w:szCs w:val="18"/>
        </w:rPr>
      </w:pPr>
      <w:r>
        <w:rPr>
          <w:noProof/>
          <w:sz w:val="18"/>
          <w:szCs w:val="18"/>
        </w:rPr>
        <w:drawing>
          <wp:inline distT="114300" distB="114300" distL="114300" distR="114300" wp14:anchorId="00B118E4" wp14:editId="2514891E">
            <wp:extent cx="7052400" cy="3873500"/>
            <wp:effectExtent l="0" t="0" r="0" b="0"/>
            <wp:docPr id="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0"/>
                    <a:srcRect/>
                    <a:stretch>
                      <a:fillRect/>
                    </a:stretch>
                  </pic:blipFill>
                  <pic:spPr>
                    <a:xfrm>
                      <a:off x="0" y="0"/>
                      <a:ext cx="7052400" cy="3873500"/>
                    </a:xfrm>
                    <a:prstGeom prst="rect">
                      <a:avLst/>
                    </a:prstGeom>
                    <a:ln/>
                  </pic:spPr>
                </pic:pic>
              </a:graphicData>
            </a:graphic>
          </wp:inline>
        </w:drawing>
      </w:r>
    </w:p>
    <w:p w14:paraId="32AE9981" w14:textId="77777777" w:rsidR="0020214C" w:rsidRDefault="003F4C7F">
      <w:pPr>
        <w:jc w:val="center"/>
        <w:rPr>
          <w:sz w:val="18"/>
          <w:szCs w:val="18"/>
        </w:rPr>
      </w:pPr>
      <w:r>
        <w:br w:type="page"/>
      </w:r>
    </w:p>
    <w:p w14:paraId="6F43B085" w14:textId="77777777" w:rsidR="0020214C" w:rsidRDefault="003F4C7F">
      <w:pPr>
        <w:jc w:val="center"/>
        <w:rPr>
          <w:sz w:val="18"/>
          <w:szCs w:val="18"/>
        </w:rPr>
      </w:pPr>
      <w:r>
        <w:rPr>
          <w:sz w:val="18"/>
          <w:szCs w:val="18"/>
        </w:rPr>
        <w:lastRenderedPageBreak/>
        <w:t xml:space="preserve">Table 6e: Performance indicators of </w:t>
      </w:r>
      <w:proofErr w:type="spellStart"/>
      <w:r>
        <w:rPr>
          <w:sz w:val="18"/>
          <w:szCs w:val="18"/>
        </w:rPr>
        <w:t>Buy&amp;Hold</w:t>
      </w:r>
      <w:proofErr w:type="spellEnd"/>
      <w:r>
        <w:rPr>
          <w:sz w:val="18"/>
          <w:szCs w:val="18"/>
        </w:rPr>
        <w:t xml:space="preserve"> TQQQ</w:t>
      </w:r>
    </w:p>
    <w:p w14:paraId="12D7C32C" w14:textId="77777777" w:rsidR="0020214C" w:rsidRDefault="003F4C7F">
      <w:pPr>
        <w:jc w:val="center"/>
        <w:rPr>
          <w:sz w:val="18"/>
          <w:szCs w:val="18"/>
        </w:rPr>
      </w:pPr>
      <w:r>
        <w:rPr>
          <w:noProof/>
          <w:sz w:val="18"/>
          <w:szCs w:val="18"/>
        </w:rPr>
        <w:drawing>
          <wp:inline distT="114300" distB="114300" distL="114300" distR="114300" wp14:anchorId="1FDD16C6" wp14:editId="7FBF64DB">
            <wp:extent cx="7052400" cy="3873500"/>
            <wp:effectExtent l="0" t="0" r="0" b="0"/>
            <wp:docPr id="4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1"/>
                    <a:srcRect/>
                    <a:stretch>
                      <a:fillRect/>
                    </a:stretch>
                  </pic:blipFill>
                  <pic:spPr>
                    <a:xfrm>
                      <a:off x="0" y="0"/>
                      <a:ext cx="7052400" cy="3873500"/>
                    </a:xfrm>
                    <a:prstGeom prst="rect">
                      <a:avLst/>
                    </a:prstGeom>
                    <a:ln/>
                  </pic:spPr>
                </pic:pic>
              </a:graphicData>
            </a:graphic>
          </wp:inline>
        </w:drawing>
      </w:r>
    </w:p>
    <w:p w14:paraId="7A673557" w14:textId="77777777" w:rsidR="0020214C" w:rsidRDefault="0020214C">
      <w:pPr>
        <w:jc w:val="center"/>
        <w:rPr>
          <w:sz w:val="18"/>
          <w:szCs w:val="18"/>
        </w:rPr>
      </w:pPr>
    </w:p>
    <w:p w14:paraId="647639F2" w14:textId="77777777" w:rsidR="0020214C" w:rsidRDefault="003F4C7F">
      <w:pPr>
        <w:jc w:val="center"/>
        <w:rPr>
          <w:sz w:val="18"/>
          <w:szCs w:val="18"/>
        </w:rPr>
      </w:pPr>
      <w:r>
        <w:rPr>
          <w:sz w:val="18"/>
          <w:szCs w:val="18"/>
        </w:rPr>
        <w:t xml:space="preserve">Table 6f: Performance indicators of </w:t>
      </w:r>
      <w:proofErr w:type="spellStart"/>
      <w:r>
        <w:rPr>
          <w:sz w:val="18"/>
          <w:szCs w:val="18"/>
        </w:rPr>
        <w:t>Buy&amp;Hold</w:t>
      </w:r>
      <w:proofErr w:type="spellEnd"/>
      <w:r>
        <w:rPr>
          <w:sz w:val="18"/>
          <w:szCs w:val="18"/>
        </w:rPr>
        <w:t xml:space="preserve"> UPRO</w:t>
      </w:r>
    </w:p>
    <w:p w14:paraId="2699F61F" w14:textId="77777777" w:rsidR="0020214C" w:rsidRDefault="003F4C7F">
      <w:pPr>
        <w:jc w:val="center"/>
        <w:rPr>
          <w:sz w:val="18"/>
          <w:szCs w:val="18"/>
        </w:rPr>
      </w:pPr>
      <w:r>
        <w:rPr>
          <w:noProof/>
          <w:sz w:val="18"/>
          <w:szCs w:val="18"/>
        </w:rPr>
        <w:drawing>
          <wp:inline distT="114300" distB="114300" distL="114300" distR="114300" wp14:anchorId="6C8D3395" wp14:editId="0000D3B1">
            <wp:extent cx="7052400" cy="3873500"/>
            <wp:effectExtent l="0" t="0" r="0" b="0"/>
            <wp:docPr id="29"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42"/>
                    <a:srcRect/>
                    <a:stretch>
                      <a:fillRect/>
                    </a:stretch>
                  </pic:blipFill>
                  <pic:spPr>
                    <a:xfrm>
                      <a:off x="0" y="0"/>
                      <a:ext cx="7052400" cy="3873500"/>
                    </a:xfrm>
                    <a:prstGeom prst="rect">
                      <a:avLst/>
                    </a:prstGeom>
                    <a:ln/>
                  </pic:spPr>
                </pic:pic>
              </a:graphicData>
            </a:graphic>
          </wp:inline>
        </w:drawing>
      </w:r>
    </w:p>
    <w:p w14:paraId="7B83CABD" w14:textId="77777777" w:rsidR="0020214C" w:rsidRDefault="003F4C7F">
      <w:pPr>
        <w:jc w:val="center"/>
        <w:rPr>
          <w:sz w:val="18"/>
          <w:szCs w:val="18"/>
        </w:rPr>
      </w:pPr>
      <w:r>
        <w:br w:type="page"/>
      </w:r>
    </w:p>
    <w:p w14:paraId="0A05BFCE" w14:textId="77777777" w:rsidR="0020214C" w:rsidRDefault="003F4C7F">
      <w:pPr>
        <w:jc w:val="center"/>
        <w:rPr>
          <w:sz w:val="18"/>
          <w:szCs w:val="18"/>
        </w:rPr>
      </w:pPr>
      <w:r>
        <w:rPr>
          <w:sz w:val="18"/>
          <w:szCs w:val="18"/>
        </w:rPr>
        <w:lastRenderedPageBreak/>
        <w:t xml:space="preserve">Table 6g: Performance indicators of </w:t>
      </w:r>
      <w:proofErr w:type="spellStart"/>
      <w:r>
        <w:rPr>
          <w:sz w:val="18"/>
          <w:szCs w:val="18"/>
        </w:rPr>
        <w:t>Buy&amp;Hold</w:t>
      </w:r>
      <w:proofErr w:type="spellEnd"/>
      <w:r>
        <w:rPr>
          <w:sz w:val="18"/>
          <w:szCs w:val="18"/>
        </w:rPr>
        <w:t xml:space="preserve"> </w:t>
      </w:r>
      <w:proofErr w:type="spellStart"/>
      <w:r>
        <w:rPr>
          <w:sz w:val="18"/>
          <w:szCs w:val="18"/>
        </w:rPr>
        <w:t>ShortTMV</w:t>
      </w:r>
      <w:proofErr w:type="spellEnd"/>
      <w:r>
        <w:rPr>
          <w:sz w:val="18"/>
          <w:szCs w:val="18"/>
        </w:rPr>
        <w:t xml:space="preserve"> (i.e. </w:t>
      </w:r>
      <w:proofErr w:type="spellStart"/>
      <w:r>
        <w:rPr>
          <w:sz w:val="18"/>
          <w:szCs w:val="18"/>
        </w:rPr>
        <w:t>Short&amp;Rebalance</w:t>
      </w:r>
      <w:proofErr w:type="spellEnd"/>
      <w:r>
        <w:rPr>
          <w:sz w:val="18"/>
          <w:szCs w:val="18"/>
        </w:rPr>
        <w:t xml:space="preserve"> TMV)</w:t>
      </w:r>
    </w:p>
    <w:p w14:paraId="199C0127" w14:textId="77777777" w:rsidR="0020214C" w:rsidRDefault="003F4C7F">
      <w:pPr>
        <w:jc w:val="center"/>
        <w:rPr>
          <w:sz w:val="18"/>
          <w:szCs w:val="18"/>
        </w:rPr>
      </w:pPr>
      <w:r>
        <w:rPr>
          <w:noProof/>
          <w:sz w:val="18"/>
          <w:szCs w:val="18"/>
        </w:rPr>
        <w:drawing>
          <wp:inline distT="114300" distB="114300" distL="114300" distR="114300" wp14:anchorId="3AC5EAD1" wp14:editId="55CE32A3">
            <wp:extent cx="7052400" cy="3873500"/>
            <wp:effectExtent l="0" t="0" r="0" b="0"/>
            <wp:docPr id="1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3"/>
                    <a:srcRect/>
                    <a:stretch>
                      <a:fillRect/>
                    </a:stretch>
                  </pic:blipFill>
                  <pic:spPr>
                    <a:xfrm>
                      <a:off x="0" y="0"/>
                      <a:ext cx="7052400" cy="3873500"/>
                    </a:xfrm>
                    <a:prstGeom prst="rect">
                      <a:avLst/>
                    </a:prstGeom>
                    <a:ln/>
                  </pic:spPr>
                </pic:pic>
              </a:graphicData>
            </a:graphic>
          </wp:inline>
        </w:drawing>
      </w:r>
    </w:p>
    <w:p w14:paraId="10E4FB4E" w14:textId="77777777" w:rsidR="0020214C" w:rsidRDefault="0020214C">
      <w:pPr>
        <w:jc w:val="center"/>
        <w:rPr>
          <w:sz w:val="18"/>
          <w:szCs w:val="18"/>
        </w:rPr>
      </w:pPr>
    </w:p>
    <w:p w14:paraId="3B899369" w14:textId="77777777" w:rsidR="0020214C" w:rsidRDefault="003F4C7F">
      <w:pPr>
        <w:jc w:val="center"/>
        <w:rPr>
          <w:sz w:val="18"/>
          <w:szCs w:val="18"/>
        </w:rPr>
      </w:pPr>
      <w:r>
        <w:rPr>
          <w:sz w:val="18"/>
          <w:szCs w:val="18"/>
        </w:rPr>
        <w:t xml:space="preserve">Table 6h: Performance indicators of </w:t>
      </w:r>
      <w:proofErr w:type="spellStart"/>
      <w:r>
        <w:rPr>
          <w:sz w:val="18"/>
          <w:szCs w:val="18"/>
        </w:rPr>
        <w:t>Buy&amp;Hold</w:t>
      </w:r>
      <w:proofErr w:type="spellEnd"/>
      <w:r>
        <w:rPr>
          <w:sz w:val="18"/>
          <w:szCs w:val="18"/>
        </w:rPr>
        <w:t xml:space="preserve"> </w:t>
      </w:r>
      <w:proofErr w:type="spellStart"/>
      <w:r>
        <w:rPr>
          <w:sz w:val="18"/>
          <w:szCs w:val="18"/>
        </w:rPr>
        <w:t>ShortUGAZ</w:t>
      </w:r>
      <w:proofErr w:type="spellEnd"/>
      <w:r>
        <w:rPr>
          <w:sz w:val="18"/>
          <w:szCs w:val="18"/>
        </w:rPr>
        <w:t xml:space="preserve"> (i.e. </w:t>
      </w:r>
      <w:proofErr w:type="spellStart"/>
      <w:r>
        <w:rPr>
          <w:sz w:val="18"/>
          <w:szCs w:val="18"/>
        </w:rPr>
        <w:t>Short&amp;Rebalance</w:t>
      </w:r>
      <w:proofErr w:type="spellEnd"/>
      <w:r>
        <w:rPr>
          <w:sz w:val="18"/>
          <w:szCs w:val="18"/>
        </w:rPr>
        <w:t xml:space="preserve"> UGAZ)</w:t>
      </w:r>
    </w:p>
    <w:p w14:paraId="27E90634" w14:textId="77777777" w:rsidR="0020214C" w:rsidRDefault="003F4C7F">
      <w:pPr>
        <w:jc w:val="center"/>
        <w:rPr>
          <w:sz w:val="18"/>
          <w:szCs w:val="18"/>
        </w:rPr>
      </w:pPr>
      <w:r>
        <w:rPr>
          <w:noProof/>
          <w:sz w:val="18"/>
          <w:szCs w:val="18"/>
        </w:rPr>
        <w:drawing>
          <wp:inline distT="114300" distB="114300" distL="114300" distR="114300" wp14:anchorId="62796F41" wp14:editId="67ADFADC">
            <wp:extent cx="7052400" cy="3848100"/>
            <wp:effectExtent l="0" t="0" r="0" b="0"/>
            <wp:docPr id="2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4"/>
                    <a:srcRect/>
                    <a:stretch>
                      <a:fillRect/>
                    </a:stretch>
                  </pic:blipFill>
                  <pic:spPr>
                    <a:xfrm>
                      <a:off x="0" y="0"/>
                      <a:ext cx="7052400" cy="3848100"/>
                    </a:xfrm>
                    <a:prstGeom prst="rect">
                      <a:avLst/>
                    </a:prstGeom>
                    <a:ln/>
                  </pic:spPr>
                </pic:pic>
              </a:graphicData>
            </a:graphic>
          </wp:inline>
        </w:drawing>
      </w:r>
    </w:p>
    <w:p w14:paraId="319FB150" w14:textId="77777777" w:rsidR="0020214C" w:rsidRDefault="003F4C7F">
      <w:pPr>
        <w:jc w:val="center"/>
        <w:rPr>
          <w:sz w:val="18"/>
          <w:szCs w:val="18"/>
        </w:rPr>
      </w:pPr>
      <w:r>
        <w:br w:type="page"/>
      </w:r>
    </w:p>
    <w:p w14:paraId="56621B49" w14:textId="77777777" w:rsidR="0020214C" w:rsidRDefault="003F4C7F">
      <w:pPr>
        <w:jc w:val="center"/>
        <w:rPr>
          <w:sz w:val="18"/>
          <w:szCs w:val="18"/>
        </w:rPr>
      </w:pPr>
      <w:r>
        <w:rPr>
          <w:sz w:val="18"/>
          <w:szCs w:val="18"/>
        </w:rPr>
        <w:lastRenderedPageBreak/>
        <w:t xml:space="preserve">Table 6i: Performance indicators of </w:t>
      </w:r>
      <w:proofErr w:type="spellStart"/>
      <w:r>
        <w:rPr>
          <w:sz w:val="18"/>
          <w:szCs w:val="18"/>
        </w:rPr>
        <w:t>Buy&amp;Hold</w:t>
      </w:r>
      <w:proofErr w:type="spellEnd"/>
      <w:r>
        <w:rPr>
          <w:sz w:val="18"/>
          <w:szCs w:val="18"/>
        </w:rPr>
        <w:t xml:space="preserve"> </w:t>
      </w:r>
      <w:proofErr w:type="spellStart"/>
      <w:r>
        <w:rPr>
          <w:sz w:val="18"/>
          <w:szCs w:val="18"/>
        </w:rPr>
        <w:t>ShortUWT</w:t>
      </w:r>
      <w:proofErr w:type="spellEnd"/>
      <w:r>
        <w:rPr>
          <w:sz w:val="18"/>
          <w:szCs w:val="18"/>
        </w:rPr>
        <w:t xml:space="preserve"> (i.e. </w:t>
      </w:r>
      <w:proofErr w:type="spellStart"/>
      <w:r>
        <w:rPr>
          <w:sz w:val="18"/>
          <w:szCs w:val="18"/>
        </w:rPr>
        <w:t>Short&amp;Rebalance</w:t>
      </w:r>
      <w:proofErr w:type="spellEnd"/>
      <w:r>
        <w:rPr>
          <w:sz w:val="18"/>
          <w:szCs w:val="18"/>
        </w:rPr>
        <w:t xml:space="preserve"> UWT)</w:t>
      </w:r>
    </w:p>
    <w:p w14:paraId="0CBD9577" w14:textId="77777777" w:rsidR="0020214C" w:rsidRDefault="003F4C7F">
      <w:pPr>
        <w:jc w:val="center"/>
        <w:rPr>
          <w:sz w:val="18"/>
          <w:szCs w:val="18"/>
        </w:rPr>
      </w:pPr>
      <w:r>
        <w:rPr>
          <w:noProof/>
          <w:sz w:val="18"/>
          <w:szCs w:val="18"/>
        </w:rPr>
        <w:drawing>
          <wp:inline distT="114300" distB="114300" distL="114300" distR="114300" wp14:anchorId="187DB97E" wp14:editId="2A41DC02">
            <wp:extent cx="7052400" cy="3873500"/>
            <wp:effectExtent l="0" t="0" r="0" b="0"/>
            <wp:docPr id="5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45"/>
                    <a:srcRect/>
                    <a:stretch>
                      <a:fillRect/>
                    </a:stretch>
                  </pic:blipFill>
                  <pic:spPr>
                    <a:xfrm>
                      <a:off x="0" y="0"/>
                      <a:ext cx="7052400" cy="3873500"/>
                    </a:xfrm>
                    <a:prstGeom prst="rect">
                      <a:avLst/>
                    </a:prstGeom>
                    <a:ln/>
                  </pic:spPr>
                </pic:pic>
              </a:graphicData>
            </a:graphic>
          </wp:inline>
        </w:drawing>
      </w:r>
    </w:p>
    <w:p w14:paraId="601BB6D1" w14:textId="77777777" w:rsidR="0020214C" w:rsidRDefault="003F4C7F">
      <w:pPr>
        <w:jc w:val="both"/>
      </w:pPr>
      <w:r>
        <w:br w:type="page"/>
      </w:r>
    </w:p>
    <w:p w14:paraId="22415FCC" w14:textId="77777777" w:rsidR="0020214C" w:rsidRDefault="003F4C7F">
      <w:pPr>
        <w:pStyle w:val="Heading2"/>
        <w:rPr>
          <w:color w:val="4A86E8"/>
          <w:sz w:val="28"/>
          <w:szCs w:val="28"/>
        </w:rPr>
      </w:pPr>
      <w:bookmarkStart w:id="8" w:name="_ysktmq5v4d2z" w:colFirst="0" w:colLast="0"/>
      <w:bookmarkEnd w:id="8"/>
      <w:r>
        <w:rPr>
          <w:color w:val="4A86E8"/>
          <w:sz w:val="28"/>
          <w:szCs w:val="28"/>
        </w:rPr>
        <w:lastRenderedPageBreak/>
        <w:t>Trading Signals and Performance of The Revisited Renewed Uber Strategy</w:t>
      </w:r>
    </w:p>
    <w:p w14:paraId="4104CFDA" w14:textId="77777777" w:rsidR="0020214C" w:rsidRDefault="0020214C"/>
    <w:p w14:paraId="70A6C79E" w14:textId="77777777" w:rsidR="0020214C" w:rsidRDefault="003F4C7F">
      <w:pPr>
        <w:jc w:val="both"/>
      </w:pPr>
      <w:r>
        <w:t xml:space="preserve">After the </w:t>
      </w:r>
      <w:r>
        <w:rPr>
          <w:b/>
        </w:rPr>
        <w:t>appropriate trading instruments</w:t>
      </w:r>
      <w:r>
        <w:t xml:space="preserve"> (</w:t>
      </w:r>
      <w:proofErr w:type="spellStart"/>
      <w:r>
        <w:t>UberMix</w:t>
      </w:r>
      <w:proofErr w:type="spellEnd"/>
      <w:r>
        <w:t xml:space="preserve"> on bullish and long VXX on bearish days) </w:t>
      </w:r>
      <w:r>
        <w:rPr>
          <w:b/>
        </w:rPr>
        <w:t>were chosen</w:t>
      </w:r>
      <w:r>
        <w:t xml:space="preserve"> in the previous section, our next task is to </w:t>
      </w:r>
      <w:r>
        <w:rPr>
          <w:b/>
        </w:rPr>
        <w:t>specify bullish and bearish days</w:t>
      </w:r>
      <w:r>
        <w:t xml:space="preserve">. </w:t>
      </w:r>
      <w:r>
        <w:t xml:space="preserve">In this section, these </w:t>
      </w:r>
      <w:r>
        <w:rPr>
          <w:b/>
        </w:rPr>
        <w:t>trading signals and the performance of this revisited Renewed Uber Strategy</w:t>
      </w:r>
      <w:r>
        <w:t xml:space="preserve"> will be presented.</w:t>
      </w:r>
    </w:p>
    <w:p w14:paraId="4944E80B" w14:textId="77777777" w:rsidR="0020214C" w:rsidRDefault="0020214C">
      <w:pPr>
        <w:jc w:val="both"/>
      </w:pPr>
    </w:p>
    <w:p w14:paraId="7386BA58" w14:textId="77777777" w:rsidR="0020214C" w:rsidRDefault="003F4C7F">
      <w:pPr>
        <w:jc w:val="both"/>
      </w:pPr>
      <w:r>
        <w:t xml:space="preserve">At first, it is worth noting that during the revision, </w:t>
      </w:r>
      <w:r>
        <w:rPr>
          <w:b/>
        </w:rPr>
        <w:t>the sub-strategies of the current Renewed Uber Strategy and their hierarchy will n</w:t>
      </w:r>
      <w:r>
        <w:rPr>
          <w:b/>
        </w:rPr>
        <w:t>ot be changed, only some bullish and bearish signals</w:t>
      </w:r>
      <w:r>
        <w:t xml:space="preserve">. The recommended new trading signals can be found in Table 7a, where </w:t>
      </w:r>
      <w:r>
        <w:rPr>
          <w:b/>
        </w:rPr>
        <w:t>‘1’ indicates bullish, ‘-1’ bearish and ‘0’ neutral</w:t>
      </w:r>
      <w:r>
        <w:t xml:space="preserve"> (when the strategy is in cash) days, while W/S indicates Winter/Summer. If someone</w:t>
      </w:r>
      <w:r>
        <w:t xml:space="preserve"> is interested, Table 7b shows the changes (compared to the current rules) as well. In this table, green signals are the newly added and reds are the skipped. It can be seen that </w:t>
      </w:r>
      <w:r>
        <w:rPr>
          <w:b/>
        </w:rPr>
        <w:t>more bearish than bullish signals are added and less bearish are skipped, whi</w:t>
      </w:r>
      <w:r>
        <w:rPr>
          <w:b/>
        </w:rPr>
        <w:t>ch means that the proportion of the bearish days is increased, while the bullish is decreased. This makes the strategy even safer.</w:t>
      </w:r>
      <w:r>
        <w:t xml:space="preserve"> The</w:t>
      </w:r>
      <w:r>
        <w:rPr>
          <w:b/>
        </w:rPr>
        <w:t xml:space="preserve"> position distribution of this revisited Renewed Uber Strategy can be seen in Table 8</w:t>
      </w:r>
      <w:r>
        <w:t xml:space="preserve"> (and can be compared to Table 1).</w:t>
      </w:r>
    </w:p>
    <w:p w14:paraId="12A7C5B2" w14:textId="77777777" w:rsidR="0020214C" w:rsidRDefault="0020214C">
      <w:pPr>
        <w:jc w:val="both"/>
      </w:pPr>
    </w:p>
    <w:p w14:paraId="4957FDBA" w14:textId="77777777" w:rsidR="0020214C" w:rsidRDefault="003F4C7F">
      <w:pPr>
        <w:jc w:val="both"/>
        <w:rPr>
          <w:b/>
        </w:rPr>
      </w:pPr>
      <w:r>
        <w:rPr>
          <w:b/>
        </w:rPr>
        <w:t>T</w:t>
      </w:r>
      <w:r>
        <w:rPr>
          <w:b/>
        </w:rPr>
        <w:t xml:space="preserve">hese trading signals came from significance analysis as </w:t>
      </w:r>
      <w:hyperlink r:id="rId46" w:anchor="heading=h.yqaeb33s8cs">
        <w:r>
          <w:rPr>
            <w:b/>
            <w:color w:val="1155CC"/>
            <w:u w:val="single"/>
          </w:rPr>
          <w:t>previously</w:t>
        </w:r>
      </w:hyperlink>
      <w:r>
        <w:rPr>
          <w:b/>
        </w:rPr>
        <w:t xml:space="preserve"> (arithmetic mean, adjusted mean, geometric mean, Sharpe ra</w:t>
      </w:r>
      <w:r>
        <w:rPr>
          <w:b/>
        </w:rPr>
        <w:t xml:space="preserve">tio, positive percentage and p-value (based on t-test)) but using </w:t>
      </w:r>
      <w:proofErr w:type="spellStart"/>
      <w:r>
        <w:rPr>
          <w:b/>
        </w:rPr>
        <w:t>UberMix</w:t>
      </w:r>
      <w:proofErr w:type="spellEnd"/>
      <w:r>
        <w:rPr>
          <w:b/>
        </w:rPr>
        <w:t xml:space="preserve"> basket instead of short VXX.</w:t>
      </w:r>
    </w:p>
    <w:p w14:paraId="4FADAE06" w14:textId="77777777" w:rsidR="0020214C" w:rsidRDefault="0020214C">
      <w:pPr>
        <w:jc w:val="both"/>
        <w:rPr>
          <w:b/>
        </w:rPr>
      </w:pPr>
    </w:p>
    <w:p w14:paraId="54F9F3C5" w14:textId="77777777" w:rsidR="0020214C" w:rsidRDefault="003F4C7F">
      <w:pPr>
        <w:jc w:val="both"/>
        <w:rPr>
          <w:b/>
        </w:rPr>
      </w:pPr>
      <w:r>
        <w:t xml:space="preserve">The </w:t>
      </w:r>
      <w:r>
        <w:rPr>
          <w:b/>
        </w:rPr>
        <w:t>past performance</w:t>
      </w:r>
      <w:r>
        <w:t xml:space="preserve"> of this revisited Renewed Uber Strategy can be seen in Chart 4-4a and in Table 9. As expected, this performance is </w:t>
      </w:r>
      <w:r>
        <w:rPr>
          <w:b/>
        </w:rPr>
        <w:t>amazing</w:t>
      </w:r>
      <w:r>
        <w:t xml:space="preserve"> (CAGR, S</w:t>
      </w:r>
      <w:r>
        <w:t xml:space="preserve">harpe- and MAR ratios), but it has to be emphasized that this is a </w:t>
      </w:r>
      <w:r>
        <w:rPr>
          <w:b/>
        </w:rPr>
        <w:t>highly over-fitted strategy</w:t>
      </w:r>
      <w:r>
        <w:t xml:space="preserve"> thus </w:t>
      </w:r>
      <w:r>
        <w:rPr>
          <w:b/>
        </w:rPr>
        <w:t>no such good future performance should be expected</w:t>
      </w:r>
      <w:r>
        <w:t>. Nevertheless,</w:t>
      </w:r>
      <w:r>
        <w:rPr>
          <w:b/>
        </w:rPr>
        <w:t xml:space="preserve"> all of the sub-strategies have strong fundamental reasons, thus we continue to believe in </w:t>
      </w:r>
      <w:r>
        <w:rPr>
          <w:b/>
        </w:rPr>
        <w:t>the success of the strategy.</w:t>
      </w:r>
    </w:p>
    <w:p w14:paraId="1409B35F" w14:textId="77777777" w:rsidR="0020214C" w:rsidRDefault="003F4C7F">
      <w:pPr>
        <w:spacing w:line="268" w:lineRule="auto"/>
        <w:jc w:val="center"/>
        <w:rPr>
          <w:sz w:val="18"/>
          <w:szCs w:val="18"/>
        </w:rPr>
      </w:pPr>
      <w:r>
        <w:rPr>
          <w:sz w:val="18"/>
          <w:szCs w:val="18"/>
        </w:rPr>
        <w:t>Table 7a: Trading signals of Revisited Renewed Uber Strategy</w:t>
      </w:r>
    </w:p>
    <w:p w14:paraId="5332FF14" w14:textId="77777777" w:rsidR="0020214C" w:rsidRDefault="003F4C7F">
      <w:pPr>
        <w:jc w:val="center"/>
      </w:pPr>
      <w:r>
        <w:rPr>
          <w:noProof/>
        </w:rPr>
        <w:drawing>
          <wp:inline distT="114300" distB="114300" distL="114300" distR="114300" wp14:anchorId="3BA20C46" wp14:editId="52BDA136">
            <wp:extent cx="6510338" cy="4136972"/>
            <wp:effectExtent l="0" t="0" r="0" b="0"/>
            <wp:docPr id="4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7"/>
                    <a:srcRect/>
                    <a:stretch>
                      <a:fillRect/>
                    </a:stretch>
                  </pic:blipFill>
                  <pic:spPr>
                    <a:xfrm>
                      <a:off x="0" y="0"/>
                      <a:ext cx="6510338" cy="4136972"/>
                    </a:xfrm>
                    <a:prstGeom prst="rect">
                      <a:avLst/>
                    </a:prstGeom>
                    <a:ln/>
                  </pic:spPr>
                </pic:pic>
              </a:graphicData>
            </a:graphic>
          </wp:inline>
        </w:drawing>
      </w:r>
    </w:p>
    <w:p w14:paraId="66708B9D" w14:textId="77777777" w:rsidR="0020214C" w:rsidRDefault="003F4C7F">
      <w:pPr>
        <w:jc w:val="center"/>
      </w:pPr>
      <w:r>
        <w:rPr>
          <w:sz w:val="18"/>
          <w:szCs w:val="18"/>
        </w:rPr>
        <w:lastRenderedPageBreak/>
        <w:t>Table 7b: Trading signals of revisited Renewed Uber Strategy - with changes compared to the current rules</w:t>
      </w:r>
    </w:p>
    <w:p w14:paraId="06A8EEB7" w14:textId="77777777" w:rsidR="0020214C" w:rsidRDefault="003F4C7F">
      <w:pPr>
        <w:jc w:val="both"/>
      </w:pPr>
      <w:r>
        <w:rPr>
          <w:noProof/>
        </w:rPr>
        <w:drawing>
          <wp:inline distT="114300" distB="114300" distL="114300" distR="114300" wp14:anchorId="4FDE6EE8" wp14:editId="23518F67">
            <wp:extent cx="7052400" cy="4470400"/>
            <wp:effectExtent l="0" t="0" r="0" b="0"/>
            <wp:docPr id="4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8"/>
                    <a:srcRect/>
                    <a:stretch>
                      <a:fillRect/>
                    </a:stretch>
                  </pic:blipFill>
                  <pic:spPr>
                    <a:xfrm>
                      <a:off x="0" y="0"/>
                      <a:ext cx="7052400" cy="4470400"/>
                    </a:xfrm>
                    <a:prstGeom prst="rect">
                      <a:avLst/>
                    </a:prstGeom>
                    <a:ln/>
                  </pic:spPr>
                </pic:pic>
              </a:graphicData>
            </a:graphic>
          </wp:inline>
        </w:drawing>
      </w:r>
    </w:p>
    <w:p w14:paraId="19DA8C71" w14:textId="77777777" w:rsidR="0020214C" w:rsidRDefault="0020214C">
      <w:pPr>
        <w:jc w:val="center"/>
        <w:rPr>
          <w:sz w:val="18"/>
          <w:szCs w:val="18"/>
        </w:rPr>
      </w:pPr>
    </w:p>
    <w:p w14:paraId="704A9A19" w14:textId="77777777" w:rsidR="0020214C" w:rsidRDefault="0020214C">
      <w:pPr>
        <w:jc w:val="center"/>
        <w:rPr>
          <w:sz w:val="18"/>
          <w:szCs w:val="18"/>
        </w:rPr>
      </w:pPr>
    </w:p>
    <w:p w14:paraId="7906A31F" w14:textId="77777777" w:rsidR="0020214C" w:rsidRDefault="003F4C7F">
      <w:pPr>
        <w:jc w:val="center"/>
        <w:rPr>
          <w:sz w:val="18"/>
          <w:szCs w:val="18"/>
        </w:rPr>
      </w:pPr>
      <w:r>
        <w:rPr>
          <w:sz w:val="18"/>
          <w:szCs w:val="18"/>
        </w:rPr>
        <w:t>Table 8: Position distribution of the ‘new’ revisited Renewed Uber Strategy</w:t>
      </w:r>
    </w:p>
    <w:p w14:paraId="0EACC7CA" w14:textId="77777777" w:rsidR="0020214C" w:rsidRDefault="003F4C7F">
      <w:pPr>
        <w:jc w:val="center"/>
        <w:rPr>
          <w:sz w:val="18"/>
          <w:szCs w:val="18"/>
        </w:rPr>
      </w:pPr>
      <w:r>
        <w:rPr>
          <w:noProof/>
        </w:rPr>
        <w:drawing>
          <wp:inline distT="114300" distB="114300" distL="114300" distR="114300" wp14:anchorId="0AF72316" wp14:editId="4609AD1A">
            <wp:extent cx="3114675" cy="1428750"/>
            <wp:effectExtent l="0" t="0" r="0" b="0"/>
            <wp:docPr id="3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9"/>
                    <a:srcRect/>
                    <a:stretch>
                      <a:fillRect/>
                    </a:stretch>
                  </pic:blipFill>
                  <pic:spPr>
                    <a:xfrm>
                      <a:off x="0" y="0"/>
                      <a:ext cx="3114675" cy="1428750"/>
                    </a:xfrm>
                    <a:prstGeom prst="rect">
                      <a:avLst/>
                    </a:prstGeom>
                    <a:ln/>
                  </pic:spPr>
                </pic:pic>
              </a:graphicData>
            </a:graphic>
          </wp:inline>
        </w:drawing>
      </w:r>
    </w:p>
    <w:p w14:paraId="157936AD" w14:textId="77777777" w:rsidR="0020214C" w:rsidRDefault="003F4C7F">
      <w:pPr>
        <w:spacing w:line="273" w:lineRule="auto"/>
        <w:jc w:val="center"/>
        <w:rPr>
          <w:i/>
          <w:color w:val="0000FF"/>
        </w:rPr>
      </w:pPr>
      <w:r>
        <w:rPr>
          <w:i/>
          <w:color w:val="0000FF"/>
          <w:sz w:val="18"/>
          <w:szCs w:val="18"/>
        </w:rPr>
        <w:t>Table 1: Position distribution of the ‘old’ Renewed Uber Strategy</w:t>
      </w:r>
    </w:p>
    <w:p w14:paraId="6633375A" w14:textId="77777777" w:rsidR="0020214C" w:rsidRDefault="003F4C7F">
      <w:pPr>
        <w:jc w:val="center"/>
      </w:pPr>
      <w:r>
        <w:rPr>
          <w:noProof/>
        </w:rPr>
        <w:drawing>
          <wp:inline distT="114300" distB="114300" distL="114300" distR="114300" wp14:anchorId="7C429B6E" wp14:editId="2251B4C3">
            <wp:extent cx="3114675" cy="1619250"/>
            <wp:effectExtent l="0" t="0" r="0" b="0"/>
            <wp:docPr id="4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1"/>
                    <a:srcRect/>
                    <a:stretch>
                      <a:fillRect/>
                    </a:stretch>
                  </pic:blipFill>
                  <pic:spPr>
                    <a:xfrm>
                      <a:off x="0" y="0"/>
                      <a:ext cx="3114675" cy="1619250"/>
                    </a:xfrm>
                    <a:prstGeom prst="rect">
                      <a:avLst/>
                    </a:prstGeom>
                    <a:ln/>
                  </pic:spPr>
                </pic:pic>
              </a:graphicData>
            </a:graphic>
          </wp:inline>
        </w:drawing>
      </w:r>
    </w:p>
    <w:p w14:paraId="55DF73DA" w14:textId="77777777" w:rsidR="0020214C" w:rsidRDefault="003F4C7F">
      <w:pPr>
        <w:jc w:val="center"/>
        <w:rPr>
          <w:sz w:val="18"/>
          <w:szCs w:val="18"/>
        </w:rPr>
      </w:pPr>
      <w:r>
        <w:br w:type="page"/>
      </w:r>
    </w:p>
    <w:p w14:paraId="786C4B35" w14:textId="77777777" w:rsidR="0020214C" w:rsidRDefault="003F4C7F">
      <w:pPr>
        <w:jc w:val="center"/>
      </w:pPr>
      <w:r>
        <w:rPr>
          <w:sz w:val="18"/>
          <w:szCs w:val="18"/>
        </w:rPr>
        <w:lastRenderedPageBreak/>
        <w:t>Chart 4: PV of the revisited Renewed Uber Strategy</w:t>
      </w:r>
    </w:p>
    <w:p w14:paraId="6D8E285D" w14:textId="77777777" w:rsidR="0020214C" w:rsidRDefault="003F4C7F">
      <w:pPr>
        <w:jc w:val="both"/>
      </w:pPr>
      <w:r>
        <w:rPr>
          <w:noProof/>
        </w:rPr>
        <w:drawing>
          <wp:inline distT="114300" distB="114300" distL="114300" distR="114300" wp14:anchorId="33906299" wp14:editId="4523658B">
            <wp:extent cx="7052400" cy="37973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0"/>
                    <a:srcRect/>
                    <a:stretch>
                      <a:fillRect/>
                    </a:stretch>
                  </pic:blipFill>
                  <pic:spPr>
                    <a:xfrm>
                      <a:off x="0" y="0"/>
                      <a:ext cx="7052400" cy="3797300"/>
                    </a:xfrm>
                    <a:prstGeom prst="rect">
                      <a:avLst/>
                    </a:prstGeom>
                    <a:ln/>
                  </pic:spPr>
                </pic:pic>
              </a:graphicData>
            </a:graphic>
          </wp:inline>
        </w:drawing>
      </w:r>
    </w:p>
    <w:p w14:paraId="01AF5839" w14:textId="77777777" w:rsidR="0020214C" w:rsidRDefault="0020214C">
      <w:pPr>
        <w:jc w:val="center"/>
        <w:rPr>
          <w:sz w:val="18"/>
          <w:szCs w:val="18"/>
        </w:rPr>
      </w:pPr>
    </w:p>
    <w:p w14:paraId="3ED82D7E" w14:textId="77777777" w:rsidR="0020214C" w:rsidRDefault="0020214C">
      <w:pPr>
        <w:jc w:val="center"/>
        <w:rPr>
          <w:sz w:val="18"/>
          <w:szCs w:val="18"/>
        </w:rPr>
      </w:pPr>
    </w:p>
    <w:p w14:paraId="065609C1" w14:textId="77777777" w:rsidR="0020214C" w:rsidRDefault="003F4C7F">
      <w:pPr>
        <w:jc w:val="center"/>
      </w:pPr>
      <w:r>
        <w:rPr>
          <w:sz w:val="18"/>
          <w:szCs w:val="18"/>
        </w:rPr>
        <w:t>Chart 4a: PV of the revisited Renewed Uber Strategy - logarithmic scale</w:t>
      </w:r>
    </w:p>
    <w:p w14:paraId="2DC0E677" w14:textId="77777777" w:rsidR="0020214C" w:rsidRDefault="003F4C7F">
      <w:pPr>
        <w:jc w:val="both"/>
      </w:pPr>
      <w:r>
        <w:rPr>
          <w:noProof/>
        </w:rPr>
        <w:drawing>
          <wp:inline distT="114300" distB="114300" distL="114300" distR="114300" wp14:anchorId="79FB56CA" wp14:editId="3A3D86A8">
            <wp:extent cx="7052400" cy="3797300"/>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1"/>
                    <a:srcRect/>
                    <a:stretch>
                      <a:fillRect/>
                    </a:stretch>
                  </pic:blipFill>
                  <pic:spPr>
                    <a:xfrm>
                      <a:off x="0" y="0"/>
                      <a:ext cx="7052400" cy="3797300"/>
                    </a:xfrm>
                    <a:prstGeom prst="rect">
                      <a:avLst/>
                    </a:prstGeom>
                    <a:ln/>
                  </pic:spPr>
                </pic:pic>
              </a:graphicData>
            </a:graphic>
          </wp:inline>
        </w:drawing>
      </w:r>
    </w:p>
    <w:p w14:paraId="5C56234B" w14:textId="77777777" w:rsidR="0020214C" w:rsidRDefault="003F4C7F">
      <w:pPr>
        <w:jc w:val="center"/>
        <w:rPr>
          <w:sz w:val="18"/>
          <w:szCs w:val="18"/>
        </w:rPr>
      </w:pPr>
      <w:r>
        <w:br w:type="page"/>
      </w:r>
    </w:p>
    <w:p w14:paraId="6F94D9B2" w14:textId="77777777" w:rsidR="0020214C" w:rsidRDefault="003F4C7F">
      <w:pPr>
        <w:jc w:val="center"/>
      </w:pPr>
      <w:r>
        <w:rPr>
          <w:sz w:val="18"/>
          <w:szCs w:val="18"/>
        </w:rPr>
        <w:lastRenderedPageBreak/>
        <w:t>Table 9: Performance indicators of the revisited Renewed Uber Strategy</w:t>
      </w:r>
    </w:p>
    <w:p w14:paraId="3C707F9E" w14:textId="77777777" w:rsidR="0020214C" w:rsidRDefault="003F4C7F">
      <w:pPr>
        <w:jc w:val="both"/>
      </w:pPr>
      <w:r>
        <w:rPr>
          <w:noProof/>
        </w:rPr>
        <w:drawing>
          <wp:inline distT="114300" distB="114300" distL="114300" distR="114300" wp14:anchorId="6563BDDC" wp14:editId="3E77912A">
            <wp:extent cx="7052400" cy="3568700"/>
            <wp:effectExtent l="0" t="0" r="0" b="0"/>
            <wp:docPr id="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2"/>
                    <a:srcRect/>
                    <a:stretch>
                      <a:fillRect/>
                    </a:stretch>
                  </pic:blipFill>
                  <pic:spPr>
                    <a:xfrm>
                      <a:off x="0" y="0"/>
                      <a:ext cx="7052400" cy="3568700"/>
                    </a:xfrm>
                    <a:prstGeom prst="rect">
                      <a:avLst/>
                    </a:prstGeom>
                    <a:ln/>
                  </pic:spPr>
                </pic:pic>
              </a:graphicData>
            </a:graphic>
          </wp:inline>
        </w:drawing>
      </w:r>
    </w:p>
    <w:p w14:paraId="42DCB746" w14:textId="77777777" w:rsidR="0020214C" w:rsidRDefault="0020214C">
      <w:pPr>
        <w:jc w:val="center"/>
      </w:pPr>
    </w:p>
    <w:p w14:paraId="286FE155" w14:textId="77777777" w:rsidR="0020214C" w:rsidRDefault="003F4C7F">
      <w:pPr>
        <w:jc w:val="center"/>
      </w:pPr>
      <w:r>
        <w:br w:type="page"/>
      </w:r>
    </w:p>
    <w:p w14:paraId="672438BE" w14:textId="77777777" w:rsidR="0020214C" w:rsidRDefault="003F4C7F">
      <w:pPr>
        <w:pStyle w:val="Heading2"/>
        <w:rPr>
          <w:color w:val="4A86E8"/>
          <w:sz w:val="28"/>
          <w:szCs w:val="28"/>
        </w:rPr>
      </w:pPr>
      <w:bookmarkStart w:id="9" w:name="2898me1my6zn" w:colFirst="0" w:colLast="0"/>
      <w:bookmarkStart w:id="10" w:name="_7fymobibk497" w:colFirst="0" w:colLast="0"/>
      <w:bookmarkEnd w:id="9"/>
      <w:bookmarkEnd w:id="10"/>
      <w:r>
        <w:rPr>
          <w:color w:val="4A86E8"/>
          <w:sz w:val="28"/>
          <w:szCs w:val="28"/>
        </w:rPr>
        <w:lastRenderedPageBreak/>
        <w:t>Possible Modifications of The Revisited Renewed Uber Strategy</w:t>
      </w:r>
    </w:p>
    <w:p w14:paraId="73A1BA12" w14:textId="77777777" w:rsidR="0020214C" w:rsidRDefault="0020214C"/>
    <w:p w14:paraId="1E6C37B5" w14:textId="77777777" w:rsidR="0020214C" w:rsidRDefault="003F4C7F">
      <w:pPr>
        <w:jc w:val="both"/>
      </w:pPr>
      <w:r>
        <w:t xml:space="preserve">Someone may wonder </w:t>
      </w:r>
      <w:r>
        <w:rPr>
          <w:b/>
        </w:rPr>
        <w:t>whether this amazing performance can even be improved</w:t>
      </w:r>
      <w:r>
        <w:t xml:space="preserve">. </w:t>
      </w:r>
      <w:r>
        <w:rPr>
          <w:b/>
        </w:rPr>
        <w:t xml:space="preserve">Numerous modifications and extension ideas </w:t>
      </w:r>
      <w:r>
        <w:rPr>
          <w:b/>
        </w:rPr>
        <w:t>were tested again (</w:t>
      </w:r>
      <w:hyperlink r:id="rId53" w:anchor="heading=h.rah7xh6ixglm">
        <w:r>
          <w:rPr>
            <w:b/>
            <w:color w:val="1155CC"/>
            <w:u w:val="single"/>
          </w:rPr>
          <w:t>as previously</w:t>
        </w:r>
      </w:hyperlink>
      <w:r>
        <w:rPr>
          <w:b/>
        </w:rPr>
        <w:t>)</w:t>
      </w:r>
      <w:r>
        <w:t xml:space="preserve">, but in our opinion, </w:t>
      </w:r>
      <w:r>
        <w:rPr>
          <w:b/>
        </w:rPr>
        <w:t>this strategy should not be further burdened with additional overfitt</w:t>
      </w:r>
      <w:r>
        <w:rPr>
          <w:b/>
        </w:rPr>
        <w:t>ing</w:t>
      </w:r>
      <w:r>
        <w:t>. Nevertheless,</w:t>
      </w:r>
      <w:r>
        <w:rPr>
          <w:b/>
        </w:rPr>
        <w:t xml:space="preserve"> it is worth considering using an indicator we know well: </w:t>
      </w:r>
      <w:proofErr w:type="gramStart"/>
      <w:r>
        <w:rPr>
          <w:b/>
        </w:rPr>
        <w:t>the</w:t>
      </w:r>
      <w:proofErr w:type="gramEnd"/>
      <w:r>
        <w:rPr>
          <w:b/>
        </w:rPr>
        <w:t xml:space="preserve"> Short-Term Contango Indicator</w:t>
      </w:r>
      <w:r>
        <w:t xml:space="preserve">. </w:t>
      </w:r>
    </w:p>
    <w:p w14:paraId="38A1D546" w14:textId="77777777" w:rsidR="0020214C" w:rsidRDefault="0020214C">
      <w:pPr>
        <w:jc w:val="both"/>
      </w:pPr>
    </w:p>
    <w:p w14:paraId="337FB2F3" w14:textId="77777777" w:rsidR="0020214C" w:rsidRDefault="003F4C7F">
      <w:pPr>
        <w:jc w:val="both"/>
        <w:rPr>
          <w:b/>
        </w:rPr>
      </w:pPr>
      <w:r>
        <w:t xml:space="preserve">Why? </w:t>
      </w:r>
      <w:r>
        <w:rPr>
          <w:b/>
        </w:rPr>
        <w:t xml:space="preserve">Our </w:t>
      </w:r>
      <w:proofErr w:type="gramStart"/>
      <w:r>
        <w:rPr>
          <w:b/>
        </w:rPr>
        <w:t>real life</w:t>
      </w:r>
      <w:proofErr w:type="gramEnd"/>
      <w:r>
        <w:rPr>
          <w:b/>
        </w:rPr>
        <w:t xml:space="preserve"> trading experience suggests that it is not necessarily profitable playing bullish bet in scary periods (when volatility is h</w:t>
      </w:r>
      <w:r>
        <w:rPr>
          <w:b/>
        </w:rPr>
        <w:t>igh and the term structure of the VIX futures is in backwardation). The same is true for bearish bets when VIX futures are in deep contango.</w:t>
      </w:r>
    </w:p>
    <w:p w14:paraId="4500E9EC" w14:textId="77777777" w:rsidR="0020214C" w:rsidRDefault="0020214C">
      <w:pPr>
        <w:jc w:val="both"/>
        <w:rPr>
          <w:b/>
        </w:rPr>
      </w:pPr>
    </w:p>
    <w:p w14:paraId="4F1ACDD0" w14:textId="77777777" w:rsidR="0020214C" w:rsidRDefault="003F4C7F">
      <w:pPr>
        <w:jc w:val="both"/>
      </w:pPr>
      <w:r>
        <w:t>Chart 5 shows the evolution of the Short-Term Contango Indicator (second month VIX futures/front month VIX futures</w:t>
      </w:r>
      <w:r>
        <w:t xml:space="preserve"> (with more than 5-days until exp.)-1).</w:t>
      </w:r>
    </w:p>
    <w:p w14:paraId="52567E8D" w14:textId="77777777" w:rsidR="0020214C" w:rsidRDefault="0020214C">
      <w:pPr>
        <w:jc w:val="both"/>
      </w:pPr>
    </w:p>
    <w:p w14:paraId="5B41C6D4" w14:textId="77777777" w:rsidR="0020214C" w:rsidRDefault="003F4C7F">
      <w:pPr>
        <w:jc w:val="center"/>
      </w:pPr>
      <w:r>
        <w:rPr>
          <w:sz w:val="18"/>
          <w:szCs w:val="18"/>
        </w:rPr>
        <w:t>Chart 5: Short-Term Contango Indicator</w:t>
      </w:r>
    </w:p>
    <w:p w14:paraId="0575AA88" w14:textId="77777777" w:rsidR="0020214C" w:rsidRDefault="003F4C7F">
      <w:pPr>
        <w:jc w:val="both"/>
      </w:pPr>
      <w:r>
        <w:rPr>
          <w:noProof/>
        </w:rPr>
        <w:drawing>
          <wp:inline distT="114300" distB="114300" distL="114300" distR="114300" wp14:anchorId="0C08D5D9" wp14:editId="4A00944A">
            <wp:extent cx="7052400" cy="463550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4"/>
                    <a:srcRect/>
                    <a:stretch>
                      <a:fillRect/>
                    </a:stretch>
                  </pic:blipFill>
                  <pic:spPr>
                    <a:xfrm>
                      <a:off x="0" y="0"/>
                      <a:ext cx="7052400" cy="4635500"/>
                    </a:xfrm>
                    <a:prstGeom prst="rect">
                      <a:avLst/>
                    </a:prstGeom>
                    <a:ln/>
                  </pic:spPr>
                </pic:pic>
              </a:graphicData>
            </a:graphic>
          </wp:inline>
        </w:drawing>
      </w:r>
    </w:p>
    <w:p w14:paraId="0E1BCC05" w14:textId="77777777" w:rsidR="0020214C" w:rsidRDefault="0020214C">
      <w:pPr>
        <w:jc w:val="both"/>
      </w:pPr>
    </w:p>
    <w:p w14:paraId="5B6EA086" w14:textId="77777777" w:rsidR="0020214C" w:rsidRDefault="003F4C7F">
      <w:pPr>
        <w:jc w:val="both"/>
        <w:rPr>
          <w:b/>
        </w:rPr>
      </w:pPr>
      <w:r>
        <w:rPr>
          <w:b/>
        </w:rPr>
        <w:t>Our</w:t>
      </w:r>
      <w:r>
        <w:t xml:space="preserve"> </w:t>
      </w:r>
      <w:r>
        <w:rPr>
          <w:b/>
        </w:rPr>
        <w:t>recommendation is to use this Short-Term Contango Indicator (STCI) in the following way:</w:t>
      </w:r>
    </w:p>
    <w:p w14:paraId="3E11242C" w14:textId="77777777" w:rsidR="0020214C" w:rsidRDefault="003F4C7F">
      <w:pPr>
        <w:numPr>
          <w:ilvl w:val="0"/>
          <w:numId w:val="3"/>
        </w:numPr>
        <w:spacing w:before="80" w:line="273" w:lineRule="auto"/>
        <w:jc w:val="both"/>
        <w:rPr>
          <w:b/>
        </w:rPr>
      </w:pPr>
      <w:r>
        <w:rPr>
          <w:b/>
        </w:rPr>
        <w:t>all of the FOMC and Holiday signals have to be played, regardless the STCI;</w:t>
      </w:r>
    </w:p>
    <w:p w14:paraId="32A5909D" w14:textId="77777777" w:rsidR="0020214C" w:rsidRDefault="003F4C7F">
      <w:pPr>
        <w:numPr>
          <w:ilvl w:val="0"/>
          <w:numId w:val="3"/>
        </w:numPr>
        <w:spacing w:before="80" w:line="273" w:lineRule="auto"/>
        <w:jc w:val="both"/>
        <w:rPr>
          <w:b/>
        </w:rPr>
      </w:pPr>
      <w:r>
        <w:rPr>
          <w:b/>
        </w:rPr>
        <w:t xml:space="preserve">on weaker bullish days (OPEX, VIXFUTEX, </w:t>
      </w:r>
      <w:proofErr w:type="spellStart"/>
      <w:r>
        <w:rPr>
          <w:b/>
        </w:rPr>
        <w:t>TotM</w:t>
      </w:r>
      <w:proofErr w:type="spellEnd"/>
      <w:r>
        <w:rPr>
          <w:b/>
        </w:rPr>
        <w:t xml:space="preserve"> and </w:t>
      </w:r>
      <w:proofErr w:type="spellStart"/>
      <w:r>
        <w:rPr>
          <w:b/>
        </w:rPr>
        <w:t>TotMM</w:t>
      </w:r>
      <w:proofErr w:type="spellEnd"/>
      <w:r>
        <w:rPr>
          <w:b/>
        </w:rPr>
        <w:t xml:space="preserve">) play the </w:t>
      </w:r>
      <w:proofErr w:type="spellStart"/>
      <w:r>
        <w:rPr>
          <w:b/>
        </w:rPr>
        <w:t>UberMix</w:t>
      </w:r>
      <w:proofErr w:type="spellEnd"/>
      <w:r>
        <w:rPr>
          <w:b/>
        </w:rPr>
        <w:t xml:space="preserve"> basket if and only</w:t>
      </w:r>
      <w:r>
        <w:rPr>
          <w:b/>
        </w:rPr>
        <w:t xml:space="preserve"> if the STCI closed above +2% contango (25</w:t>
      </w:r>
      <w:r>
        <w:rPr>
          <w:b/>
          <w:vertAlign w:val="superscript"/>
        </w:rPr>
        <w:t>th</w:t>
      </w:r>
      <w:r>
        <w:rPr>
          <w:b/>
        </w:rPr>
        <w:t xml:space="preserve"> percentile, blue line in Chart 5) on previous day (so, stay in cash if contango is not big enough);</w:t>
      </w:r>
    </w:p>
    <w:p w14:paraId="14A9AEB4" w14:textId="77777777" w:rsidR="0020214C" w:rsidRDefault="003F4C7F">
      <w:pPr>
        <w:numPr>
          <w:ilvl w:val="0"/>
          <w:numId w:val="3"/>
        </w:numPr>
        <w:spacing w:before="80" w:line="273" w:lineRule="auto"/>
        <w:jc w:val="both"/>
        <w:rPr>
          <w:b/>
        </w:rPr>
      </w:pPr>
      <w:r>
        <w:rPr>
          <w:b/>
        </w:rPr>
        <w:lastRenderedPageBreak/>
        <w:t xml:space="preserve">on weaker bearish days (OPEX, VIXFUTEX, </w:t>
      </w:r>
      <w:proofErr w:type="spellStart"/>
      <w:r>
        <w:rPr>
          <w:b/>
        </w:rPr>
        <w:t>TotM</w:t>
      </w:r>
      <w:proofErr w:type="spellEnd"/>
      <w:r>
        <w:rPr>
          <w:b/>
        </w:rPr>
        <w:t xml:space="preserve"> and </w:t>
      </w:r>
      <w:proofErr w:type="spellStart"/>
      <w:r>
        <w:rPr>
          <w:b/>
        </w:rPr>
        <w:t>TotMM</w:t>
      </w:r>
      <w:proofErr w:type="spellEnd"/>
      <w:r>
        <w:rPr>
          <w:b/>
        </w:rPr>
        <w:t xml:space="preserve">) play long VXX if and only if the STCI closed below +9% </w:t>
      </w:r>
      <w:r>
        <w:rPr>
          <w:b/>
        </w:rPr>
        <w:t>contango (75</w:t>
      </w:r>
      <w:r>
        <w:rPr>
          <w:b/>
          <w:vertAlign w:val="superscript"/>
        </w:rPr>
        <w:t>th</w:t>
      </w:r>
      <w:r>
        <w:rPr>
          <w:b/>
        </w:rPr>
        <w:t xml:space="preserve"> percentile, red line in Chart 5</w:t>
      </w:r>
      <w:r>
        <w:rPr>
          <w:b/>
          <w:vertAlign w:val="superscript"/>
        </w:rPr>
        <w:footnoteReference w:id="2"/>
      </w:r>
      <w:r>
        <w:rPr>
          <w:b/>
        </w:rPr>
        <w:t>) on previous day (so, stay in cash if the contango is too deep).</w:t>
      </w:r>
    </w:p>
    <w:p w14:paraId="4C9FF6CC" w14:textId="77777777" w:rsidR="0020214C" w:rsidRDefault="0020214C">
      <w:pPr>
        <w:jc w:val="both"/>
      </w:pPr>
    </w:p>
    <w:p w14:paraId="2FCBCDEC" w14:textId="77777777" w:rsidR="0020214C" w:rsidRDefault="003F4C7F">
      <w:pPr>
        <w:jc w:val="both"/>
      </w:pPr>
      <w:r>
        <w:t xml:space="preserve">It is worth noting that </w:t>
      </w:r>
      <w:proofErr w:type="gramStart"/>
      <w:r>
        <w:rPr>
          <w:b/>
        </w:rPr>
        <w:t>these threshold</w:t>
      </w:r>
      <w:proofErr w:type="gramEnd"/>
      <w:r>
        <w:rPr>
          <w:b/>
        </w:rPr>
        <w:t xml:space="preserve"> are not optimised</w:t>
      </w:r>
      <w:r>
        <w:t xml:space="preserve">. Using this STCI, </w:t>
      </w:r>
      <w:r>
        <w:rPr>
          <w:b/>
        </w:rPr>
        <w:t>some trading signals should be changed</w:t>
      </w:r>
      <w:r>
        <w:t>. The newly recommended tra</w:t>
      </w:r>
      <w:r>
        <w:t>ding signals can be found in Table 10a (and changes compared to the currently used in Table 10b).</w:t>
      </w:r>
    </w:p>
    <w:p w14:paraId="38A79A18" w14:textId="77777777" w:rsidR="0020214C" w:rsidRDefault="0020214C">
      <w:pPr>
        <w:jc w:val="both"/>
      </w:pPr>
    </w:p>
    <w:p w14:paraId="10CF6FE0" w14:textId="77777777" w:rsidR="0020214C" w:rsidRDefault="003F4C7F">
      <w:pPr>
        <w:jc w:val="both"/>
        <w:rPr>
          <w:b/>
        </w:rPr>
      </w:pPr>
      <w:r>
        <w:t xml:space="preserve">As it can be seen in Table 11, </w:t>
      </w:r>
      <w:r>
        <w:rPr>
          <w:b/>
        </w:rPr>
        <w:t xml:space="preserve">the proportion of played bullish days significantly decreased compared to the revisited Renewed Uber strategy without </w:t>
      </w:r>
      <w:proofErr w:type="spellStart"/>
      <w:r>
        <w:rPr>
          <w:b/>
        </w:rPr>
        <w:t>STCi</w:t>
      </w:r>
      <w:proofErr w:type="spellEnd"/>
      <w:r>
        <w:rPr>
          <w:b/>
        </w:rPr>
        <w:t xml:space="preserve"> (Ta</w:t>
      </w:r>
      <w:r>
        <w:rPr>
          <w:b/>
        </w:rPr>
        <w:t>ble 8): 36.77% vs. 43.63%, while the same numbers for played bearish days are almost the same (20.44% vs. 20.75%). The proportion of cash days increased from 35.62% to 42.79%.</w:t>
      </w:r>
    </w:p>
    <w:p w14:paraId="0103A019" w14:textId="77777777" w:rsidR="0020214C" w:rsidRDefault="0020214C">
      <w:pPr>
        <w:jc w:val="center"/>
      </w:pPr>
    </w:p>
    <w:p w14:paraId="032189A5" w14:textId="77777777" w:rsidR="0020214C" w:rsidRDefault="003F4C7F">
      <w:pPr>
        <w:jc w:val="center"/>
        <w:rPr>
          <w:sz w:val="18"/>
          <w:szCs w:val="18"/>
        </w:rPr>
      </w:pPr>
      <w:r>
        <w:rPr>
          <w:sz w:val="18"/>
          <w:szCs w:val="18"/>
        </w:rPr>
        <w:t>Table 10a: Trading signals of revisited Renewed Uber Strategy using Short-Term Contango Indicator</w:t>
      </w:r>
    </w:p>
    <w:p w14:paraId="38AA3903" w14:textId="77777777" w:rsidR="0020214C" w:rsidRDefault="003F4C7F">
      <w:pPr>
        <w:jc w:val="center"/>
        <w:rPr>
          <w:sz w:val="18"/>
          <w:szCs w:val="18"/>
        </w:rPr>
      </w:pPr>
      <w:r>
        <w:rPr>
          <w:noProof/>
        </w:rPr>
        <w:drawing>
          <wp:inline distT="114300" distB="114300" distL="114300" distR="114300" wp14:anchorId="1345A60A" wp14:editId="71FF8839">
            <wp:extent cx="6721838" cy="4078520"/>
            <wp:effectExtent l="0" t="0" r="0" b="0"/>
            <wp:docPr id="3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5"/>
                    <a:srcRect/>
                    <a:stretch>
                      <a:fillRect/>
                    </a:stretch>
                  </pic:blipFill>
                  <pic:spPr>
                    <a:xfrm>
                      <a:off x="0" y="0"/>
                      <a:ext cx="6721838" cy="4078520"/>
                    </a:xfrm>
                    <a:prstGeom prst="rect">
                      <a:avLst/>
                    </a:prstGeom>
                    <a:ln/>
                  </pic:spPr>
                </pic:pic>
              </a:graphicData>
            </a:graphic>
          </wp:inline>
        </w:drawing>
      </w:r>
    </w:p>
    <w:p w14:paraId="755A04A9" w14:textId="77777777" w:rsidR="0020214C" w:rsidRDefault="0020214C">
      <w:pPr>
        <w:jc w:val="center"/>
      </w:pPr>
    </w:p>
    <w:p w14:paraId="1971AD73" w14:textId="77777777" w:rsidR="0020214C" w:rsidRDefault="003F4C7F">
      <w:pPr>
        <w:jc w:val="center"/>
        <w:rPr>
          <w:sz w:val="18"/>
          <w:szCs w:val="18"/>
        </w:rPr>
      </w:pPr>
      <w:r>
        <w:br w:type="page"/>
      </w:r>
    </w:p>
    <w:p w14:paraId="3917D78A" w14:textId="77777777" w:rsidR="0020214C" w:rsidRDefault="003F4C7F">
      <w:pPr>
        <w:jc w:val="center"/>
      </w:pPr>
      <w:r>
        <w:rPr>
          <w:sz w:val="18"/>
          <w:szCs w:val="18"/>
        </w:rPr>
        <w:lastRenderedPageBreak/>
        <w:t>Table 10b: Trading signals of revisited Renewed Uber Strategy using Short-Term Contango Indicator - with changes compared to the current rules</w:t>
      </w:r>
    </w:p>
    <w:p w14:paraId="62B49CE7" w14:textId="77777777" w:rsidR="0020214C" w:rsidRDefault="003F4C7F">
      <w:pPr>
        <w:jc w:val="center"/>
      </w:pPr>
      <w:r>
        <w:rPr>
          <w:noProof/>
        </w:rPr>
        <w:drawing>
          <wp:inline distT="114300" distB="114300" distL="114300" distR="114300" wp14:anchorId="7319F48E" wp14:editId="45C7E38C">
            <wp:extent cx="7052400" cy="4279900"/>
            <wp:effectExtent l="0" t="0" r="0" b="0"/>
            <wp:docPr id="3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6"/>
                    <a:srcRect/>
                    <a:stretch>
                      <a:fillRect/>
                    </a:stretch>
                  </pic:blipFill>
                  <pic:spPr>
                    <a:xfrm>
                      <a:off x="0" y="0"/>
                      <a:ext cx="7052400" cy="4279900"/>
                    </a:xfrm>
                    <a:prstGeom prst="rect">
                      <a:avLst/>
                    </a:prstGeom>
                    <a:ln/>
                  </pic:spPr>
                </pic:pic>
              </a:graphicData>
            </a:graphic>
          </wp:inline>
        </w:drawing>
      </w:r>
    </w:p>
    <w:p w14:paraId="45F4269B" w14:textId="77777777" w:rsidR="0020214C" w:rsidRDefault="0020214C">
      <w:pPr>
        <w:jc w:val="center"/>
        <w:rPr>
          <w:sz w:val="18"/>
          <w:szCs w:val="18"/>
        </w:rPr>
      </w:pPr>
    </w:p>
    <w:p w14:paraId="4279D63C" w14:textId="77777777" w:rsidR="0020214C" w:rsidRDefault="0020214C">
      <w:pPr>
        <w:jc w:val="center"/>
        <w:rPr>
          <w:sz w:val="18"/>
          <w:szCs w:val="18"/>
        </w:rPr>
      </w:pPr>
    </w:p>
    <w:p w14:paraId="571C920A" w14:textId="77777777" w:rsidR="0020214C" w:rsidRDefault="003F4C7F">
      <w:pPr>
        <w:jc w:val="center"/>
      </w:pPr>
      <w:r>
        <w:rPr>
          <w:sz w:val="18"/>
          <w:szCs w:val="18"/>
        </w:rPr>
        <w:t xml:space="preserve">Table </w:t>
      </w:r>
      <w:r>
        <w:rPr>
          <w:sz w:val="18"/>
          <w:szCs w:val="18"/>
        </w:rPr>
        <w:t>11: Position distribution of the revisited Renewed Uber Strategy using Short-Term Contango Indicator</w:t>
      </w:r>
    </w:p>
    <w:p w14:paraId="7E1B6617" w14:textId="77777777" w:rsidR="0020214C" w:rsidRDefault="003F4C7F">
      <w:pPr>
        <w:jc w:val="center"/>
      </w:pPr>
      <w:r>
        <w:tab/>
      </w:r>
      <w:r>
        <w:rPr>
          <w:noProof/>
        </w:rPr>
        <w:drawing>
          <wp:inline distT="114300" distB="114300" distL="114300" distR="114300" wp14:anchorId="2071445C" wp14:editId="34583060">
            <wp:extent cx="3114675" cy="1666875"/>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7"/>
                    <a:srcRect/>
                    <a:stretch>
                      <a:fillRect/>
                    </a:stretch>
                  </pic:blipFill>
                  <pic:spPr>
                    <a:xfrm>
                      <a:off x="0" y="0"/>
                      <a:ext cx="3114675" cy="1666875"/>
                    </a:xfrm>
                    <a:prstGeom prst="rect">
                      <a:avLst/>
                    </a:prstGeom>
                    <a:ln/>
                  </pic:spPr>
                </pic:pic>
              </a:graphicData>
            </a:graphic>
          </wp:inline>
        </w:drawing>
      </w:r>
    </w:p>
    <w:p w14:paraId="7C288619" w14:textId="77777777" w:rsidR="0020214C" w:rsidRDefault="0020214C">
      <w:pPr>
        <w:jc w:val="center"/>
        <w:rPr>
          <w:sz w:val="18"/>
          <w:szCs w:val="18"/>
        </w:rPr>
      </w:pPr>
    </w:p>
    <w:p w14:paraId="39AD7620" w14:textId="77777777" w:rsidR="0020214C" w:rsidRDefault="003F4C7F">
      <w:pPr>
        <w:jc w:val="both"/>
        <w:rPr>
          <w:b/>
        </w:rPr>
      </w:pPr>
      <w:r>
        <w:t xml:space="preserve">The performance of this </w:t>
      </w:r>
      <w:r>
        <w:rPr>
          <w:b/>
        </w:rPr>
        <w:t>Renewed Uber Strategy using Short-Term Contango Indicator</w:t>
      </w:r>
      <w:r>
        <w:t xml:space="preserve"> can be found in Chart 6-6a and in Table 12. The figures are</w:t>
      </w:r>
      <w:r>
        <w:rPr>
          <w:b/>
        </w:rPr>
        <w:t xml:space="preserve"> amazing a</w:t>
      </w:r>
      <w:r>
        <w:rPr>
          <w:b/>
        </w:rPr>
        <w:t>gain</w:t>
      </w:r>
      <w:r>
        <w:t xml:space="preserve"> (as expected) and it is worth comparing them to the r</w:t>
      </w:r>
      <w:r>
        <w:rPr>
          <w:b/>
        </w:rPr>
        <w:t xml:space="preserve">evisited strategy without STCI </w:t>
      </w:r>
      <w:r>
        <w:t xml:space="preserve">(Table 9): </w:t>
      </w:r>
      <w:r>
        <w:rPr>
          <w:b/>
        </w:rPr>
        <w:t>CAGRs are the same (125.9% vs. 126.74%), while Sharpe- and MAR ratios are better (2.31 and 6.69 vs. 2.26 and 5.51). Furthermore, maximum drawdown is reduced</w:t>
      </w:r>
      <w:r>
        <w:rPr>
          <w:b/>
        </w:rPr>
        <w:t xml:space="preserve"> from 23.02% to 18.82%. Even better, it could achieve this by being in cash in almost half of the days (42% in particular, instead of the 27% cash days of the currently traded strategy).</w:t>
      </w:r>
    </w:p>
    <w:p w14:paraId="4E998C01" w14:textId="77777777" w:rsidR="0020214C" w:rsidRDefault="0020214C">
      <w:pPr>
        <w:jc w:val="both"/>
        <w:rPr>
          <w:b/>
        </w:rPr>
      </w:pPr>
    </w:p>
    <w:p w14:paraId="739CEF28" w14:textId="77777777" w:rsidR="0020214C" w:rsidRDefault="003F4C7F">
      <w:pPr>
        <w:jc w:val="both"/>
        <w:rPr>
          <w:b/>
        </w:rPr>
      </w:pPr>
      <w:r>
        <w:rPr>
          <w:b/>
        </w:rPr>
        <w:t>In our opinion, this extension (using Short-Term Contango Indicator)</w:t>
      </w:r>
      <w:r>
        <w:rPr>
          <w:b/>
        </w:rPr>
        <w:t xml:space="preserve"> should be used in real life trading.</w:t>
      </w:r>
    </w:p>
    <w:p w14:paraId="668FC7D7" w14:textId="77777777" w:rsidR="0020214C" w:rsidRDefault="0020214C">
      <w:pPr>
        <w:jc w:val="both"/>
      </w:pPr>
    </w:p>
    <w:p w14:paraId="34F27C1E" w14:textId="77777777" w:rsidR="0020214C" w:rsidRDefault="0020214C">
      <w:pPr>
        <w:jc w:val="center"/>
        <w:rPr>
          <w:sz w:val="18"/>
          <w:szCs w:val="18"/>
        </w:rPr>
      </w:pPr>
    </w:p>
    <w:p w14:paraId="55904BC9" w14:textId="77777777" w:rsidR="0020214C" w:rsidRDefault="0020214C">
      <w:pPr>
        <w:jc w:val="center"/>
        <w:rPr>
          <w:sz w:val="18"/>
          <w:szCs w:val="18"/>
        </w:rPr>
      </w:pPr>
    </w:p>
    <w:p w14:paraId="1BB84366" w14:textId="77777777" w:rsidR="0020214C" w:rsidRDefault="003F4C7F">
      <w:pPr>
        <w:jc w:val="center"/>
        <w:rPr>
          <w:sz w:val="18"/>
          <w:szCs w:val="18"/>
        </w:rPr>
      </w:pPr>
      <w:r>
        <w:br w:type="page"/>
      </w:r>
    </w:p>
    <w:p w14:paraId="06FE70AE" w14:textId="77777777" w:rsidR="0020214C" w:rsidRDefault="003F4C7F">
      <w:pPr>
        <w:jc w:val="center"/>
      </w:pPr>
      <w:r>
        <w:rPr>
          <w:sz w:val="18"/>
          <w:szCs w:val="18"/>
        </w:rPr>
        <w:lastRenderedPageBreak/>
        <w:t>Chart 6: PV of the revisited Renewed Uber Strategy using Short-Term Contango Indicator</w:t>
      </w:r>
    </w:p>
    <w:p w14:paraId="6A3587C5" w14:textId="77777777" w:rsidR="0020214C" w:rsidRDefault="003F4C7F">
      <w:pPr>
        <w:jc w:val="center"/>
      </w:pPr>
      <w:r>
        <w:rPr>
          <w:noProof/>
        </w:rPr>
        <w:drawing>
          <wp:inline distT="114300" distB="114300" distL="114300" distR="114300" wp14:anchorId="36449A22" wp14:editId="00D9DA3B">
            <wp:extent cx="7052400" cy="3797300"/>
            <wp:effectExtent l="0" t="0" r="0" b="0"/>
            <wp:docPr id="50"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58"/>
                    <a:srcRect/>
                    <a:stretch>
                      <a:fillRect/>
                    </a:stretch>
                  </pic:blipFill>
                  <pic:spPr>
                    <a:xfrm>
                      <a:off x="0" y="0"/>
                      <a:ext cx="7052400" cy="3797300"/>
                    </a:xfrm>
                    <a:prstGeom prst="rect">
                      <a:avLst/>
                    </a:prstGeom>
                    <a:ln/>
                  </pic:spPr>
                </pic:pic>
              </a:graphicData>
            </a:graphic>
          </wp:inline>
        </w:drawing>
      </w:r>
    </w:p>
    <w:p w14:paraId="22A67220" w14:textId="77777777" w:rsidR="0020214C" w:rsidRDefault="0020214C">
      <w:pPr>
        <w:jc w:val="center"/>
        <w:rPr>
          <w:sz w:val="18"/>
          <w:szCs w:val="18"/>
        </w:rPr>
      </w:pPr>
    </w:p>
    <w:p w14:paraId="6674FC21" w14:textId="77777777" w:rsidR="0020214C" w:rsidRDefault="0020214C">
      <w:pPr>
        <w:jc w:val="center"/>
        <w:rPr>
          <w:sz w:val="18"/>
          <w:szCs w:val="18"/>
        </w:rPr>
      </w:pPr>
    </w:p>
    <w:p w14:paraId="30F97B45" w14:textId="77777777" w:rsidR="0020214C" w:rsidRDefault="003F4C7F">
      <w:pPr>
        <w:jc w:val="center"/>
      </w:pPr>
      <w:r>
        <w:rPr>
          <w:sz w:val="18"/>
          <w:szCs w:val="18"/>
        </w:rPr>
        <w:t>Chart 6a: PV of the revisited Renewed Uber Strategy using Short-Term Contango Indicator - logarithmic scale</w:t>
      </w:r>
    </w:p>
    <w:p w14:paraId="6DFAD484" w14:textId="77777777" w:rsidR="0020214C" w:rsidRDefault="003F4C7F">
      <w:pPr>
        <w:jc w:val="center"/>
      </w:pPr>
      <w:r>
        <w:rPr>
          <w:noProof/>
        </w:rPr>
        <w:drawing>
          <wp:inline distT="114300" distB="114300" distL="114300" distR="114300" wp14:anchorId="4095AEAC" wp14:editId="495AE0E4">
            <wp:extent cx="7052400" cy="3797300"/>
            <wp:effectExtent l="0" t="0" r="0" b="0"/>
            <wp:docPr id="2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9"/>
                    <a:srcRect/>
                    <a:stretch>
                      <a:fillRect/>
                    </a:stretch>
                  </pic:blipFill>
                  <pic:spPr>
                    <a:xfrm>
                      <a:off x="0" y="0"/>
                      <a:ext cx="7052400" cy="3797300"/>
                    </a:xfrm>
                    <a:prstGeom prst="rect">
                      <a:avLst/>
                    </a:prstGeom>
                    <a:ln/>
                  </pic:spPr>
                </pic:pic>
              </a:graphicData>
            </a:graphic>
          </wp:inline>
        </w:drawing>
      </w:r>
    </w:p>
    <w:p w14:paraId="4AB7AC9C" w14:textId="77777777" w:rsidR="0020214C" w:rsidRDefault="0020214C">
      <w:pPr>
        <w:jc w:val="center"/>
        <w:rPr>
          <w:sz w:val="18"/>
          <w:szCs w:val="18"/>
        </w:rPr>
      </w:pPr>
    </w:p>
    <w:p w14:paraId="0365C2CE" w14:textId="77777777" w:rsidR="0020214C" w:rsidRDefault="0020214C">
      <w:pPr>
        <w:jc w:val="center"/>
        <w:rPr>
          <w:sz w:val="18"/>
          <w:szCs w:val="18"/>
        </w:rPr>
      </w:pPr>
    </w:p>
    <w:p w14:paraId="71EEFC0D" w14:textId="77777777" w:rsidR="0020214C" w:rsidRDefault="0020214C">
      <w:pPr>
        <w:jc w:val="center"/>
        <w:rPr>
          <w:sz w:val="18"/>
          <w:szCs w:val="18"/>
        </w:rPr>
      </w:pPr>
    </w:p>
    <w:p w14:paraId="784866CC" w14:textId="77777777" w:rsidR="0020214C" w:rsidRDefault="003F4C7F">
      <w:pPr>
        <w:jc w:val="center"/>
        <w:rPr>
          <w:sz w:val="18"/>
          <w:szCs w:val="18"/>
        </w:rPr>
      </w:pPr>
      <w:r>
        <w:br w:type="page"/>
      </w:r>
    </w:p>
    <w:p w14:paraId="0C9C857E" w14:textId="77777777" w:rsidR="0020214C" w:rsidRDefault="003F4C7F">
      <w:pPr>
        <w:jc w:val="center"/>
      </w:pPr>
      <w:r>
        <w:rPr>
          <w:sz w:val="18"/>
          <w:szCs w:val="18"/>
        </w:rPr>
        <w:lastRenderedPageBreak/>
        <w:t>Table 12: Performance indicators of the revisited Renewed Uber Strategy using Short-Term Contango Indicator</w:t>
      </w:r>
    </w:p>
    <w:p w14:paraId="6BB9DD1B" w14:textId="77777777" w:rsidR="0020214C" w:rsidRDefault="003F4C7F">
      <w:pPr>
        <w:jc w:val="center"/>
      </w:pPr>
      <w:r>
        <w:rPr>
          <w:noProof/>
        </w:rPr>
        <w:drawing>
          <wp:inline distT="114300" distB="114300" distL="114300" distR="114300" wp14:anchorId="3E72590E" wp14:editId="43CF39D7">
            <wp:extent cx="7052400" cy="3568700"/>
            <wp:effectExtent l="0" t="0" r="0" b="0"/>
            <wp:docPr id="2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0"/>
                    <a:srcRect/>
                    <a:stretch>
                      <a:fillRect/>
                    </a:stretch>
                  </pic:blipFill>
                  <pic:spPr>
                    <a:xfrm>
                      <a:off x="0" y="0"/>
                      <a:ext cx="7052400" cy="3568700"/>
                    </a:xfrm>
                    <a:prstGeom prst="rect">
                      <a:avLst/>
                    </a:prstGeom>
                    <a:ln/>
                  </pic:spPr>
                </pic:pic>
              </a:graphicData>
            </a:graphic>
          </wp:inline>
        </w:drawing>
      </w:r>
    </w:p>
    <w:p w14:paraId="546446B3" w14:textId="77777777" w:rsidR="0020214C" w:rsidRDefault="003F4C7F">
      <w:pPr>
        <w:jc w:val="center"/>
        <w:rPr>
          <w:sz w:val="18"/>
          <w:szCs w:val="18"/>
        </w:rPr>
      </w:pPr>
      <w:r>
        <w:br w:type="page"/>
      </w:r>
    </w:p>
    <w:p w14:paraId="25F91E77" w14:textId="77777777" w:rsidR="0020214C" w:rsidRDefault="003F4C7F">
      <w:pPr>
        <w:jc w:val="both"/>
      </w:pPr>
      <w:bookmarkStart w:id="11" w:name="qum5jd6dxkby" w:colFirst="0" w:colLast="0"/>
      <w:bookmarkEnd w:id="11"/>
      <w:r>
        <w:lastRenderedPageBreak/>
        <w:t xml:space="preserve">For </w:t>
      </w:r>
      <w:r>
        <w:rPr>
          <w:b/>
        </w:rPr>
        <w:t>risk-loving investors</w:t>
      </w:r>
      <w:r>
        <w:t xml:space="preserve">, </w:t>
      </w:r>
      <w:r>
        <w:rPr>
          <w:b/>
        </w:rPr>
        <w:t xml:space="preserve">another extension idea could be to play long </w:t>
      </w:r>
      <w:proofErr w:type="spellStart"/>
      <w:r>
        <w:rPr>
          <w:b/>
        </w:rPr>
        <w:t>UberMix</w:t>
      </w:r>
      <w:proofErr w:type="spellEnd"/>
      <w:r>
        <w:rPr>
          <w:b/>
        </w:rPr>
        <w:t xml:space="preserve"> basket not only on predefined days (</w:t>
      </w:r>
      <w:proofErr w:type="spellStart"/>
      <w:r>
        <w:rPr>
          <w:b/>
        </w:rPr>
        <w:t>ie</w:t>
      </w:r>
      <w:proofErr w:type="spellEnd"/>
      <w:r>
        <w:rPr>
          <w:b/>
        </w:rPr>
        <w:t xml:space="preserve">. FOMC, Holidays, OPEX, VIXFUTEX, </w:t>
      </w:r>
      <w:proofErr w:type="spellStart"/>
      <w:r>
        <w:rPr>
          <w:b/>
        </w:rPr>
        <w:t>TotM</w:t>
      </w:r>
      <w:proofErr w:type="spellEnd"/>
      <w:r>
        <w:rPr>
          <w:b/>
        </w:rPr>
        <w:t xml:space="preserve"> and </w:t>
      </w:r>
      <w:proofErr w:type="spellStart"/>
      <w:r>
        <w:rPr>
          <w:b/>
        </w:rPr>
        <w:t>TotMM</w:t>
      </w:r>
      <w:proofErr w:type="spellEnd"/>
      <w:r>
        <w:rPr>
          <w:b/>
        </w:rPr>
        <w:t xml:space="preserve">), but always when the value of the Short-Term Contango Indicator is higher than a given threshold (that is, in very </w:t>
      </w:r>
      <w:r>
        <w:rPr>
          <w:b/>
        </w:rPr>
        <w:t>bullish and calm regimes).</w:t>
      </w:r>
      <w:r>
        <w:t xml:space="preserve"> Our</w:t>
      </w:r>
      <w:r>
        <w:rPr>
          <w:b/>
        </w:rPr>
        <w:t xml:space="preserve"> recommended threshold is +7.5%</w:t>
      </w:r>
      <w:r>
        <w:t xml:space="preserve">, which is the </w:t>
      </w:r>
      <w:r>
        <w:rPr>
          <w:b/>
        </w:rPr>
        <w:t>67</w:t>
      </w:r>
      <w:r>
        <w:rPr>
          <w:b/>
          <w:vertAlign w:val="superscript"/>
        </w:rPr>
        <w:t>th</w:t>
      </w:r>
      <w:r>
        <w:rPr>
          <w:b/>
        </w:rPr>
        <w:t xml:space="preserve"> percentile</w:t>
      </w:r>
      <w:r>
        <w:t xml:space="preserve"> of historical value of the </w:t>
      </w:r>
      <w:r>
        <w:rPr>
          <w:b/>
        </w:rPr>
        <w:t>STCI</w:t>
      </w:r>
      <w:r>
        <w:t xml:space="preserve">. Naturally, it increases the proportion of long </w:t>
      </w:r>
      <w:proofErr w:type="spellStart"/>
      <w:r>
        <w:t>UberMix</w:t>
      </w:r>
      <w:proofErr w:type="spellEnd"/>
      <w:r>
        <w:t xml:space="preserve"> basket days (from 35.77% to 57.78%) and decreases the number of days in cash</w:t>
      </w:r>
      <w:r>
        <w:t xml:space="preserve"> from 42.79% to 21.78%. Thus, it is almost the same than in case of the currently played Renewed Uber Strategy (Table 1).</w:t>
      </w:r>
    </w:p>
    <w:p w14:paraId="6112821C" w14:textId="77777777" w:rsidR="0020214C" w:rsidRDefault="0020214C">
      <w:pPr>
        <w:jc w:val="both"/>
      </w:pPr>
    </w:p>
    <w:p w14:paraId="1E1665EF" w14:textId="77777777" w:rsidR="0020214C" w:rsidRDefault="003F4C7F">
      <w:pPr>
        <w:jc w:val="both"/>
      </w:pPr>
      <w:r>
        <w:t>The performance of this extension (Extended Renewed Uber Strategy using STCI - where ‘Extended’ refers to the extended trading days w</w:t>
      </w:r>
      <w:r>
        <w:t xml:space="preserve">hen the well performing </w:t>
      </w:r>
      <w:proofErr w:type="spellStart"/>
      <w:r>
        <w:t>UberMix</w:t>
      </w:r>
      <w:proofErr w:type="spellEnd"/>
      <w:r>
        <w:t xml:space="preserve"> basket is in play) can be seen in Chart 7-7a and in Table 14.</w:t>
      </w:r>
    </w:p>
    <w:p w14:paraId="5C513BAB" w14:textId="77777777" w:rsidR="0020214C" w:rsidRDefault="0020214C">
      <w:pPr>
        <w:jc w:val="center"/>
        <w:rPr>
          <w:sz w:val="18"/>
          <w:szCs w:val="18"/>
        </w:rPr>
      </w:pPr>
    </w:p>
    <w:p w14:paraId="336AF1A7" w14:textId="77777777" w:rsidR="0020214C" w:rsidRDefault="003F4C7F">
      <w:pPr>
        <w:jc w:val="center"/>
      </w:pPr>
      <w:r>
        <w:rPr>
          <w:sz w:val="18"/>
          <w:szCs w:val="18"/>
        </w:rPr>
        <w:t>Table 13: Position distribution of the Extended Renewed Uber Strategy using Short-Term Contango Indicator</w:t>
      </w:r>
    </w:p>
    <w:p w14:paraId="28C5680A" w14:textId="77777777" w:rsidR="0020214C" w:rsidRDefault="003F4C7F">
      <w:pPr>
        <w:jc w:val="center"/>
      </w:pPr>
      <w:r>
        <w:t xml:space="preserve"> </w:t>
      </w:r>
      <w:r>
        <w:rPr>
          <w:noProof/>
        </w:rPr>
        <w:drawing>
          <wp:inline distT="114300" distB="114300" distL="114300" distR="114300" wp14:anchorId="7FEAB914" wp14:editId="6ACB3B82">
            <wp:extent cx="3114675" cy="1685925"/>
            <wp:effectExtent l="0" t="0" r="0" b="0"/>
            <wp:docPr id="5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61"/>
                    <a:srcRect/>
                    <a:stretch>
                      <a:fillRect/>
                    </a:stretch>
                  </pic:blipFill>
                  <pic:spPr>
                    <a:xfrm>
                      <a:off x="0" y="0"/>
                      <a:ext cx="3114675" cy="1685925"/>
                    </a:xfrm>
                    <a:prstGeom prst="rect">
                      <a:avLst/>
                    </a:prstGeom>
                    <a:ln/>
                  </pic:spPr>
                </pic:pic>
              </a:graphicData>
            </a:graphic>
          </wp:inline>
        </w:drawing>
      </w:r>
    </w:p>
    <w:p w14:paraId="38350F57" w14:textId="77777777" w:rsidR="0020214C" w:rsidRDefault="0020214C">
      <w:pPr>
        <w:spacing w:line="273" w:lineRule="auto"/>
        <w:jc w:val="center"/>
        <w:rPr>
          <w:i/>
          <w:color w:val="0000FF"/>
          <w:sz w:val="18"/>
          <w:szCs w:val="18"/>
        </w:rPr>
      </w:pPr>
    </w:p>
    <w:p w14:paraId="669A4FEC" w14:textId="77777777" w:rsidR="0020214C" w:rsidRDefault="0020214C">
      <w:pPr>
        <w:spacing w:line="273" w:lineRule="auto"/>
        <w:jc w:val="center"/>
        <w:rPr>
          <w:i/>
          <w:color w:val="0000FF"/>
          <w:sz w:val="18"/>
          <w:szCs w:val="18"/>
        </w:rPr>
      </w:pPr>
    </w:p>
    <w:p w14:paraId="48F91056" w14:textId="77777777" w:rsidR="0020214C" w:rsidRDefault="003F4C7F">
      <w:pPr>
        <w:spacing w:line="273" w:lineRule="auto"/>
        <w:jc w:val="center"/>
        <w:rPr>
          <w:i/>
          <w:color w:val="0000FF"/>
        </w:rPr>
      </w:pPr>
      <w:r>
        <w:rPr>
          <w:i/>
          <w:color w:val="0000FF"/>
          <w:sz w:val="18"/>
          <w:szCs w:val="18"/>
        </w:rPr>
        <w:t>Table 1: Position distribution of the Renewed Uber</w:t>
      </w:r>
      <w:r>
        <w:rPr>
          <w:i/>
          <w:color w:val="0000FF"/>
          <w:sz w:val="18"/>
          <w:szCs w:val="18"/>
        </w:rPr>
        <w:t xml:space="preserve"> Strategy</w:t>
      </w:r>
    </w:p>
    <w:p w14:paraId="15F499E6" w14:textId="77777777" w:rsidR="0020214C" w:rsidRDefault="003F4C7F">
      <w:pPr>
        <w:jc w:val="center"/>
      </w:pPr>
      <w:r>
        <w:rPr>
          <w:noProof/>
        </w:rPr>
        <w:drawing>
          <wp:inline distT="114300" distB="114300" distL="114300" distR="114300" wp14:anchorId="11B6E530" wp14:editId="308318C3">
            <wp:extent cx="3114675" cy="1619250"/>
            <wp:effectExtent l="0" t="0" r="0" b="0"/>
            <wp:docPr id="4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1"/>
                    <a:srcRect/>
                    <a:stretch>
                      <a:fillRect/>
                    </a:stretch>
                  </pic:blipFill>
                  <pic:spPr>
                    <a:xfrm>
                      <a:off x="0" y="0"/>
                      <a:ext cx="3114675" cy="1619250"/>
                    </a:xfrm>
                    <a:prstGeom prst="rect">
                      <a:avLst/>
                    </a:prstGeom>
                    <a:ln/>
                  </pic:spPr>
                </pic:pic>
              </a:graphicData>
            </a:graphic>
          </wp:inline>
        </w:drawing>
      </w:r>
    </w:p>
    <w:p w14:paraId="63C0BA2F" w14:textId="77777777" w:rsidR="0020214C" w:rsidRDefault="0020214C">
      <w:pPr>
        <w:jc w:val="center"/>
      </w:pPr>
    </w:p>
    <w:p w14:paraId="73B38EAA" w14:textId="77777777" w:rsidR="0020214C" w:rsidRDefault="003F4C7F">
      <w:pPr>
        <w:jc w:val="center"/>
        <w:rPr>
          <w:sz w:val="18"/>
          <w:szCs w:val="18"/>
        </w:rPr>
      </w:pPr>
      <w:r>
        <w:br w:type="page"/>
      </w:r>
    </w:p>
    <w:p w14:paraId="4A74F7AF" w14:textId="77777777" w:rsidR="0020214C" w:rsidRDefault="003F4C7F">
      <w:pPr>
        <w:jc w:val="center"/>
      </w:pPr>
      <w:r>
        <w:rPr>
          <w:sz w:val="18"/>
          <w:szCs w:val="18"/>
        </w:rPr>
        <w:lastRenderedPageBreak/>
        <w:t>Chart 7: PV of the Extended Renewed Uber Strategy using Short-Term Contango Indicator</w:t>
      </w:r>
    </w:p>
    <w:p w14:paraId="044ECC05" w14:textId="77777777" w:rsidR="0020214C" w:rsidRDefault="003F4C7F">
      <w:pPr>
        <w:jc w:val="center"/>
      </w:pPr>
      <w:r>
        <w:rPr>
          <w:noProof/>
        </w:rPr>
        <w:drawing>
          <wp:inline distT="114300" distB="114300" distL="114300" distR="114300" wp14:anchorId="3059BEC4" wp14:editId="7DF83B71">
            <wp:extent cx="7052400" cy="3797300"/>
            <wp:effectExtent l="0" t="0" r="0" b="0"/>
            <wp:docPr id="2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2"/>
                    <a:srcRect/>
                    <a:stretch>
                      <a:fillRect/>
                    </a:stretch>
                  </pic:blipFill>
                  <pic:spPr>
                    <a:xfrm>
                      <a:off x="0" y="0"/>
                      <a:ext cx="7052400" cy="3797300"/>
                    </a:xfrm>
                    <a:prstGeom prst="rect">
                      <a:avLst/>
                    </a:prstGeom>
                    <a:ln/>
                  </pic:spPr>
                </pic:pic>
              </a:graphicData>
            </a:graphic>
          </wp:inline>
        </w:drawing>
      </w:r>
    </w:p>
    <w:p w14:paraId="5DF58E51" w14:textId="77777777" w:rsidR="0020214C" w:rsidRDefault="003F4C7F">
      <w:pPr>
        <w:jc w:val="center"/>
      </w:pPr>
      <w:r>
        <w:rPr>
          <w:sz w:val="18"/>
          <w:szCs w:val="18"/>
        </w:rPr>
        <w:t>Chart 7a: PV of the Extended Renewed Uber Strategy using Short-Term Contango Indicator - logarithmic scale</w:t>
      </w:r>
    </w:p>
    <w:p w14:paraId="3061A39A" w14:textId="77777777" w:rsidR="0020214C" w:rsidRDefault="003F4C7F">
      <w:pPr>
        <w:jc w:val="center"/>
      </w:pPr>
      <w:r>
        <w:rPr>
          <w:noProof/>
        </w:rPr>
        <w:drawing>
          <wp:inline distT="114300" distB="114300" distL="114300" distR="114300" wp14:anchorId="370D60E0" wp14:editId="174A50E9">
            <wp:extent cx="7052400" cy="3797300"/>
            <wp:effectExtent l="0" t="0" r="0" b="0"/>
            <wp:docPr id="3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3"/>
                    <a:srcRect/>
                    <a:stretch>
                      <a:fillRect/>
                    </a:stretch>
                  </pic:blipFill>
                  <pic:spPr>
                    <a:xfrm>
                      <a:off x="0" y="0"/>
                      <a:ext cx="7052400" cy="3797300"/>
                    </a:xfrm>
                    <a:prstGeom prst="rect">
                      <a:avLst/>
                    </a:prstGeom>
                    <a:ln/>
                  </pic:spPr>
                </pic:pic>
              </a:graphicData>
            </a:graphic>
          </wp:inline>
        </w:drawing>
      </w:r>
    </w:p>
    <w:p w14:paraId="2CCE0D2F" w14:textId="77777777" w:rsidR="0020214C" w:rsidRDefault="0020214C">
      <w:pPr>
        <w:jc w:val="center"/>
        <w:rPr>
          <w:sz w:val="18"/>
          <w:szCs w:val="18"/>
        </w:rPr>
      </w:pPr>
    </w:p>
    <w:p w14:paraId="77DC8D6D" w14:textId="77777777" w:rsidR="0020214C" w:rsidRDefault="0020214C">
      <w:pPr>
        <w:jc w:val="center"/>
        <w:rPr>
          <w:sz w:val="18"/>
          <w:szCs w:val="18"/>
        </w:rPr>
      </w:pPr>
    </w:p>
    <w:p w14:paraId="632A8821" w14:textId="77777777" w:rsidR="0020214C" w:rsidRDefault="003F4C7F">
      <w:pPr>
        <w:jc w:val="center"/>
        <w:rPr>
          <w:sz w:val="18"/>
          <w:szCs w:val="18"/>
        </w:rPr>
      </w:pPr>
      <w:r>
        <w:br w:type="page"/>
      </w:r>
    </w:p>
    <w:p w14:paraId="71B54BCD" w14:textId="77777777" w:rsidR="0020214C" w:rsidRDefault="003F4C7F">
      <w:pPr>
        <w:jc w:val="center"/>
      </w:pPr>
      <w:r>
        <w:rPr>
          <w:sz w:val="18"/>
          <w:szCs w:val="18"/>
        </w:rPr>
        <w:lastRenderedPageBreak/>
        <w:t xml:space="preserve">Table 14: Performance indicators of the </w:t>
      </w:r>
      <w:r>
        <w:rPr>
          <w:sz w:val="18"/>
          <w:szCs w:val="18"/>
        </w:rPr>
        <w:t>Extended Renewed Uber Strategy using Short-Term Contango Indicator</w:t>
      </w:r>
    </w:p>
    <w:p w14:paraId="5329F44D" w14:textId="77777777" w:rsidR="0020214C" w:rsidRDefault="003F4C7F">
      <w:pPr>
        <w:jc w:val="center"/>
      </w:pPr>
      <w:r>
        <w:rPr>
          <w:noProof/>
        </w:rPr>
        <w:drawing>
          <wp:inline distT="114300" distB="114300" distL="114300" distR="114300" wp14:anchorId="190EC4D4" wp14:editId="66A1A5BF">
            <wp:extent cx="7052400" cy="3556000"/>
            <wp:effectExtent l="0" t="0" r="0" b="0"/>
            <wp:docPr id="48"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4"/>
                    <a:srcRect/>
                    <a:stretch>
                      <a:fillRect/>
                    </a:stretch>
                  </pic:blipFill>
                  <pic:spPr>
                    <a:xfrm>
                      <a:off x="0" y="0"/>
                      <a:ext cx="7052400" cy="3556000"/>
                    </a:xfrm>
                    <a:prstGeom prst="rect">
                      <a:avLst/>
                    </a:prstGeom>
                    <a:ln/>
                  </pic:spPr>
                </pic:pic>
              </a:graphicData>
            </a:graphic>
          </wp:inline>
        </w:drawing>
      </w:r>
    </w:p>
    <w:p w14:paraId="0B8E1F7E" w14:textId="77777777" w:rsidR="0020214C" w:rsidRDefault="0020214C">
      <w:pPr>
        <w:jc w:val="center"/>
        <w:rPr>
          <w:sz w:val="18"/>
          <w:szCs w:val="18"/>
        </w:rPr>
      </w:pPr>
    </w:p>
    <w:p w14:paraId="665ADF5E" w14:textId="77777777" w:rsidR="0020214C" w:rsidRDefault="0020214C">
      <w:pPr>
        <w:jc w:val="center"/>
        <w:rPr>
          <w:sz w:val="18"/>
          <w:szCs w:val="18"/>
        </w:rPr>
      </w:pPr>
    </w:p>
    <w:p w14:paraId="4737F4A3" w14:textId="77777777" w:rsidR="0020214C" w:rsidRDefault="0020214C">
      <w:pPr>
        <w:jc w:val="center"/>
      </w:pPr>
    </w:p>
    <w:p w14:paraId="48B0E2BD" w14:textId="77777777" w:rsidR="0020214C" w:rsidRDefault="003F4C7F">
      <w:pPr>
        <w:jc w:val="both"/>
      </w:pPr>
      <w:r>
        <w:t xml:space="preserve">The following Table 15 and 16 compare the </w:t>
      </w:r>
      <w:r>
        <w:rPr>
          <w:b/>
        </w:rPr>
        <w:t>performance indicators and position distributions of the above presented three versions: revisited Renewed Uber, Renewed Uber using STCI and Extended Renewed Uber using STCI</w:t>
      </w:r>
      <w:r>
        <w:t>.</w:t>
      </w:r>
    </w:p>
    <w:p w14:paraId="44F7381D" w14:textId="77777777" w:rsidR="0020214C" w:rsidRDefault="0020214C">
      <w:pPr>
        <w:jc w:val="both"/>
      </w:pPr>
    </w:p>
    <w:p w14:paraId="5B308700" w14:textId="77777777" w:rsidR="0020214C" w:rsidRDefault="003F4C7F">
      <w:pPr>
        <w:jc w:val="both"/>
      </w:pPr>
      <w:r>
        <w:t xml:space="preserve">In our opinion, </w:t>
      </w:r>
      <w:r>
        <w:rPr>
          <w:b/>
        </w:rPr>
        <w:t xml:space="preserve">all the </w:t>
      </w:r>
      <w:proofErr w:type="gramStart"/>
      <w:r>
        <w:rPr>
          <w:b/>
        </w:rPr>
        <w:t>three strategy</w:t>
      </w:r>
      <w:proofErr w:type="gramEnd"/>
      <w:r>
        <w:rPr>
          <w:b/>
        </w:rPr>
        <w:t xml:space="preserve"> version should be played in real life tra</w:t>
      </w:r>
      <w:r>
        <w:rPr>
          <w:b/>
        </w:rPr>
        <w:t>ding, but the last one is the most recommended</w:t>
      </w:r>
      <w:r>
        <w:t>.</w:t>
      </w:r>
    </w:p>
    <w:p w14:paraId="6FB7FC5D" w14:textId="77777777" w:rsidR="0020214C" w:rsidRDefault="0020214C">
      <w:pPr>
        <w:jc w:val="both"/>
      </w:pPr>
    </w:p>
    <w:p w14:paraId="0059752C" w14:textId="77777777" w:rsidR="0020214C" w:rsidRDefault="003F4C7F">
      <w:pPr>
        <w:jc w:val="center"/>
      </w:pPr>
      <w:r>
        <w:rPr>
          <w:sz w:val="18"/>
          <w:szCs w:val="18"/>
        </w:rPr>
        <w:t>Table 15: Comparison of performance indicators</w:t>
      </w:r>
    </w:p>
    <w:p w14:paraId="02F0D65B" w14:textId="77777777" w:rsidR="0020214C" w:rsidRDefault="003F4C7F">
      <w:pPr>
        <w:jc w:val="center"/>
      </w:pPr>
      <w:r>
        <w:rPr>
          <w:noProof/>
        </w:rPr>
        <w:drawing>
          <wp:inline distT="114300" distB="114300" distL="114300" distR="114300" wp14:anchorId="62607B15" wp14:editId="2A5EC7A5">
            <wp:extent cx="7052400" cy="128270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5"/>
                    <a:srcRect/>
                    <a:stretch>
                      <a:fillRect/>
                    </a:stretch>
                  </pic:blipFill>
                  <pic:spPr>
                    <a:xfrm>
                      <a:off x="0" y="0"/>
                      <a:ext cx="7052400" cy="1282700"/>
                    </a:xfrm>
                    <a:prstGeom prst="rect">
                      <a:avLst/>
                    </a:prstGeom>
                    <a:ln/>
                  </pic:spPr>
                </pic:pic>
              </a:graphicData>
            </a:graphic>
          </wp:inline>
        </w:drawing>
      </w:r>
    </w:p>
    <w:p w14:paraId="6C5C0B78" w14:textId="77777777" w:rsidR="0020214C" w:rsidRDefault="003F4C7F">
      <w:pPr>
        <w:jc w:val="center"/>
      </w:pPr>
      <w:r>
        <w:rPr>
          <w:sz w:val="18"/>
          <w:szCs w:val="18"/>
        </w:rPr>
        <w:t>Table 16: Comparison of position distributions</w:t>
      </w:r>
    </w:p>
    <w:p w14:paraId="2230DB77" w14:textId="77777777" w:rsidR="0020214C" w:rsidRDefault="003F4C7F">
      <w:pPr>
        <w:jc w:val="center"/>
      </w:pPr>
      <w:r>
        <w:rPr>
          <w:noProof/>
        </w:rPr>
        <w:drawing>
          <wp:inline distT="114300" distB="114300" distL="114300" distR="114300" wp14:anchorId="111DD7D1" wp14:editId="40ED1C5B">
            <wp:extent cx="4514850" cy="1143000"/>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6"/>
                    <a:srcRect/>
                    <a:stretch>
                      <a:fillRect/>
                    </a:stretch>
                  </pic:blipFill>
                  <pic:spPr>
                    <a:xfrm>
                      <a:off x="0" y="0"/>
                      <a:ext cx="4514850" cy="1143000"/>
                    </a:xfrm>
                    <a:prstGeom prst="rect">
                      <a:avLst/>
                    </a:prstGeom>
                    <a:ln/>
                  </pic:spPr>
                </pic:pic>
              </a:graphicData>
            </a:graphic>
          </wp:inline>
        </w:drawing>
      </w:r>
    </w:p>
    <w:p w14:paraId="476038F9" w14:textId="77777777" w:rsidR="0020214C" w:rsidRDefault="003F4C7F">
      <w:pPr>
        <w:jc w:val="center"/>
        <w:rPr>
          <w:color w:val="4A86E8"/>
          <w:sz w:val="28"/>
          <w:szCs w:val="28"/>
        </w:rPr>
      </w:pPr>
      <w:r>
        <w:br w:type="page"/>
      </w:r>
    </w:p>
    <w:p w14:paraId="51769301" w14:textId="77777777" w:rsidR="0020214C" w:rsidRDefault="003F4C7F">
      <w:pPr>
        <w:pStyle w:val="Heading1"/>
        <w:pBdr>
          <w:top w:val="nil"/>
          <w:left w:val="nil"/>
          <w:bottom w:val="nil"/>
          <w:right w:val="nil"/>
          <w:between w:val="nil"/>
        </w:pBdr>
        <w:rPr>
          <w:color w:val="38761D"/>
        </w:rPr>
      </w:pPr>
      <w:bookmarkStart w:id="12" w:name="_l07s06b5622k" w:colFirst="0" w:colLast="0"/>
      <w:bookmarkEnd w:id="12"/>
      <w:r>
        <w:rPr>
          <w:color w:val="38761D"/>
        </w:rPr>
        <w:lastRenderedPageBreak/>
        <w:t>Conclusions</w:t>
      </w:r>
    </w:p>
    <w:p w14:paraId="4CF27271" w14:textId="77777777" w:rsidR="0020214C" w:rsidRDefault="0020214C">
      <w:pPr>
        <w:pBdr>
          <w:top w:val="nil"/>
          <w:left w:val="nil"/>
          <w:bottom w:val="nil"/>
          <w:right w:val="nil"/>
          <w:between w:val="nil"/>
        </w:pBdr>
        <w:jc w:val="both"/>
        <w:rPr>
          <w:rFonts w:ascii="Trebuchet MS" w:eastAsia="Trebuchet MS" w:hAnsi="Trebuchet MS" w:cs="Trebuchet MS"/>
          <w:color w:val="38761D"/>
          <w:sz w:val="32"/>
          <w:szCs w:val="32"/>
        </w:rPr>
      </w:pPr>
    </w:p>
    <w:p w14:paraId="0C1D342B" w14:textId="77777777" w:rsidR="0020214C" w:rsidRDefault="003F4C7F">
      <w:pPr>
        <w:jc w:val="both"/>
      </w:pPr>
      <w:r>
        <w:t xml:space="preserve">In this study, </w:t>
      </w:r>
      <w:r>
        <w:rPr>
          <w:b/>
        </w:rPr>
        <w:t>a revision of our beloved Renewed Uber strategy was presented</w:t>
      </w:r>
      <w:r>
        <w:t>.</w:t>
      </w:r>
    </w:p>
    <w:p w14:paraId="5767044D" w14:textId="77777777" w:rsidR="0020214C" w:rsidRDefault="0020214C">
      <w:pPr>
        <w:jc w:val="both"/>
      </w:pPr>
    </w:p>
    <w:p w14:paraId="261CDE08" w14:textId="77777777" w:rsidR="0020214C" w:rsidRDefault="003F4C7F">
      <w:pPr>
        <w:jc w:val="both"/>
      </w:pPr>
      <w:r>
        <w:t xml:space="preserve">At first, we checked its </w:t>
      </w:r>
      <w:proofErr w:type="gramStart"/>
      <w:r>
        <w:t>real life</w:t>
      </w:r>
      <w:proofErr w:type="gramEnd"/>
      <w:r>
        <w:t xml:space="preserve"> performance in last year. We found that our </w:t>
      </w:r>
      <w:r>
        <w:rPr>
          <w:b/>
        </w:rPr>
        <w:t>live portfolio lost about -15%</w:t>
      </w:r>
      <w:r>
        <w:t xml:space="preserve">, while it would have been </w:t>
      </w:r>
      <w:r>
        <w:rPr>
          <w:b/>
        </w:rPr>
        <w:t>only about -6% using the original rules</w:t>
      </w:r>
      <w:r>
        <w:t>. It was conclude</w:t>
      </w:r>
      <w:r>
        <w:t xml:space="preserve">d that it is unnecessary to distinguish between ‘Only Short Volatility’ and ‘Short Volatility + Long Market Basket’ days. It is </w:t>
      </w:r>
      <w:r>
        <w:rPr>
          <w:b/>
        </w:rPr>
        <w:t xml:space="preserve">enough to separate bullish and bearish days </w:t>
      </w:r>
      <w:r>
        <w:t xml:space="preserve">(and all of the selected ETPs should be played on bullish days). Furthermore, using </w:t>
      </w:r>
      <w:r>
        <w:t>options for safety reasons dramatically decreased the performance, especially in case of short VXX vs. VXX put options. In our opinion, this</w:t>
      </w:r>
      <w:r>
        <w:rPr>
          <w:b/>
        </w:rPr>
        <w:t xml:space="preserve"> strategy is not worth playing with options. </w:t>
      </w:r>
      <w:r>
        <w:t>Instead of this, other risk-reducing methods should be considered (e.g.</w:t>
      </w:r>
      <w:r>
        <w:t xml:space="preserve"> portfolio-based stop-loss with rest period, reduced PV, long SVXY instead of short VXX, double leveraged ETPs instead of triple leveraged ones, etc.).</w:t>
      </w:r>
    </w:p>
    <w:p w14:paraId="3C7EAD80" w14:textId="77777777" w:rsidR="0020214C" w:rsidRDefault="0020214C">
      <w:pPr>
        <w:jc w:val="both"/>
        <w:rPr>
          <w:sz w:val="20"/>
          <w:szCs w:val="20"/>
        </w:rPr>
      </w:pPr>
    </w:p>
    <w:p w14:paraId="62D2E41C" w14:textId="77777777" w:rsidR="0020214C" w:rsidRDefault="003F4C7F">
      <w:pPr>
        <w:jc w:val="both"/>
      </w:pPr>
      <w:r>
        <w:t xml:space="preserve">Secondly, a </w:t>
      </w:r>
      <w:r>
        <w:rPr>
          <w:b/>
        </w:rPr>
        <w:t>new bullish trading basket of the Renewed Uber Strategy</w:t>
      </w:r>
      <w:r>
        <w:t xml:space="preserve"> were defined: the ‘</w:t>
      </w:r>
      <w:proofErr w:type="spellStart"/>
      <w:r>
        <w:rPr>
          <w:b/>
        </w:rPr>
        <w:t>UberMix</w:t>
      </w:r>
      <w:proofErr w:type="spellEnd"/>
      <w:r>
        <w:rPr>
          <w:b/>
        </w:rPr>
        <w:t>’</w:t>
      </w:r>
      <w:r>
        <w:t xml:space="preserve"> basket </w:t>
      </w:r>
      <w:r>
        <w:t>(100% long VXX has remained on bearish days):</w:t>
      </w:r>
    </w:p>
    <w:p w14:paraId="4F85F37E" w14:textId="77777777" w:rsidR="0020214C" w:rsidRDefault="003F4C7F">
      <w:pPr>
        <w:numPr>
          <w:ilvl w:val="0"/>
          <w:numId w:val="9"/>
        </w:numPr>
        <w:spacing w:before="120" w:line="271" w:lineRule="auto"/>
        <w:jc w:val="both"/>
      </w:pPr>
      <w:r>
        <w:rPr>
          <w:b/>
        </w:rPr>
        <w:t>30% long UPRO</w:t>
      </w:r>
      <w:r>
        <w:t xml:space="preserve"> (3x long SPY);</w:t>
      </w:r>
    </w:p>
    <w:p w14:paraId="60DB0323" w14:textId="77777777" w:rsidR="0020214C" w:rsidRDefault="003F4C7F">
      <w:pPr>
        <w:numPr>
          <w:ilvl w:val="0"/>
          <w:numId w:val="9"/>
        </w:numPr>
        <w:spacing w:before="80" w:line="273" w:lineRule="auto"/>
        <w:jc w:val="both"/>
      </w:pPr>
      <w:r>
        <w:rPr>
          <w:b/>
        </w:rPr>
        <w:t>30% long TQQQ</w:t>
      </w:r>
      <w:r>
        <w:t xml:space="preserve"> (3x long QQQ);</w:t>
      </w:r>
    </w:p>
    <w:p w14:paraId="4D1431CD" w14:textId="77777777" w:rsidR="0020214C" w:rsidRDefault="003F4C7F">
      <w:pPr>
        <w:numPr>
          <w:ilvl w:val="0"/>
          <w:numId w:val="9"/>
        </w:numPr>
        <w:spacing w:before="80" w:line="273" w:lineRule="auto"/>
        <w:jc w:val="both"/>
      </w:pPr>
      <w:r>
        <w:rPr>
          <w:b/>
        </w:rPr>
        <w:t>20% short VXX</w:t>
      </w:r>
      <w:r>
        <w:t xml:space="preserve"> (or the corresponding 40% long SVXY (0.5x short VXX));</w:t>
      </w:r>
    </w:p>
    <w:p w14:paraId="1AC76861" w14:textId="77777777" w:rsidR="0020214C" w:rsidRDefault="003F4C7F">
      <w:pPr>
        <w:numPr>
          <w:ilvl w:val="0"/>
          <w:numId w:val="9"/>
        </w:numPr>
        <w:spacing w:before="80" w:line="273" w:lineRule="auto"/>
        <w:jc w:val="both"/>
      </w:pPr>
      <w:r>
        <w:rPr>
          <w:b/>
        </w:rPr>
        <w:t>10% short TMV</w:t>
      </w:r>
      <w:r>
        <w:t xml:space="preserve"> (3x short TLT);</w:t>
      </w:r>
    </w:p>
    <w:p w14:paraId="6EFC2215" w14:textId="77777777" w:rsidR="0020214C" w:rsidRDefault="003F4C7F">
      <w:pPr>
        <w:numPr>
          <w:ilvl w:val="0"/>
          <w:numId w:val="9"/>
        </w:numPr>
        <w:spacing w:before="80" w:line="273" w:lineRule="auto"/>
        <w:jc w:val="both"/>
      </w:pPr>
      <w:r>
        <w:rPr>
          <w:b/>
        </w:rPr>
        <w:t>5% short UGAZ</w:t>
      </w:r>
      <w:r>
        <w:t xml:space="preserve"> (3x long UNG) and</w:t>
      </w:r>
    </w:p>
    <w:p w14:paraId="59B47F75" w14:textId="77777777" w:rsidR="0020214C" w:rsidRDefault="003F4C7F">
      <w:pPr>
        <w:numPr>
          <w:ilvl w:val="0"/>
          <w:numId w:val="9"/>
        </w:numPr>
        <w:spacing w:before="80" w:line="273" w:lineRule="auto"/>
        <w:jc w:val="both"/>
      </w:pPr>
      <w:r>
        <w:rPr>
          <w:b/>
        </w:rPr>
        <w:t>5% short UWT</w:t>
      </w:r>
      <w:r>
        <w:t xml:space="preserve"> (3x long USO).</w:t>
      </w:r>
    </w:p>
    <w:p w14:paraId="7C8A80D8" w14:textId="77777777" w:rsidR="0020214C" w:rsidRDefault="0020214C">
      <w:pPr>
        <w:spacing w:before="80" w:line="273" w:lineRule="auto"/>
        <w:jc w:val="both"/>
      </w:pPr>
    </w:p>
    <w:p w14:paraId="687DDA66" w14:textId="77777777" w:rsidR="0020214C" w:rsidRDefault="003F4C7F">
      <w:pPr>
        <w:spacing w:before="80" w:line="273" w:lineRule="auto"/>
        <w:jc w:val="both"/>
      </w:pPr>
      <w:r>
        <w:t xml:space="preserve">After that, we </w:t>
      </w:r>
      <w:r>
        <w:rPr>
          <w:b/>
        </w:rPr>
        <w:t xml:space="preserve">re-analysed the significance of the played seasonality events using this </w:t>
      </w:r>
      <w:proofErr w:type="spellStart"/>
      <w:r>
        <w:rPr>
          <w:b/>
        </w:rPr>
        <w:t>UberMix</w:t>
      </w:r>
      <w:proofErr w:type="spellEnd"/>
      <w:r>
        <w:rPr>
          <w:b/>
        </w:rPr>
        <w:t xml:space="preserve"> basket instead of short VXX</w:t>
      </w:r>
      <w:r>
        <w:t>. Bullish and bearish market days were determined (with some changes compared to the currently played ve</w:t>
      </w:r>
      <w:r>
        <w:t xml:space="preserve">rsion) in that section. The </w:t>
      </w:r>
      <w:r>
        <w:rPr>
          <w:b/>
        </w:rPr>
        <w:t>performance of this revisited Renewed Uber Strategy</w:t>
      </w:r>
      <w:r>
        <w:t xml:space="preserve"> (using the </w:t>
      </w:r>
      <w:proofErr w:type="spellStart"/>
      <w:r>
        <w:t>UberMix</w:t>
      </w:r>
      <w:proofErr w:type="spellEnd"/>
      <w:r>
        <w:t xml:space="preserve"> basket and new trading signals) is </w:t>
      </w:r>
      <w:r>
        <w:rPr>
          <w:b/>
        </w:rPr>
        <w:t>amazing</w:t>
      </w:r>
      <w:r>
        <w:t>, but somewhat overfitted.</w:t>
      </w:r>
    </w:p>
    <w:p w14:paraId="3F3065AE" w14:textId="77777777" w:rsidR="0020214C" w:rsidRDefault="0020214C">
      <w:pPr>
        <w:spacing w:before="80" w:line="273" w:lineRule="auto"/>
        <w:jc w:val="both"/>
      </w:pPr>
    </w:p>
    <w:p w14:paraId="3EB989E5" w14:textId="77777777" w:rsidR="0020214C" w:rsidRDefault="003F4C7F">
      <w:pPr>
        <w:spacing w:before="80" w:line="273" w:lineRule="auto"/>
        <w:jc w:val="both"/>
      </w:pPr>
      <w:r>
        <w:t xml:space="preserve">As a realistic modification, we used the </w:t>
      </w:r>
      <w:r>
        <w:rPr>
          <w:b/>
        </w:rPr>
        <w:t>Short-Term Contango Indicator</w:t>
      </w:r>
      <w:r>
        <w:t xml:space="preserve"> to determine </w:t>
      </w:r>
      <w:r>
        <w:rPr>
          <w:b/>
        </w:rPr>
        <w:t>whe</w:t>
      </w:r>
      <w:r>
        <w:rPr>
          <w:b/>
        </w:rPr>
        <w:t xml:space="preserve">n the hierarchically inferior sub-strategies (OPEX, VIXFUTEX, </w:t>
      </w:r>
      <w:proofErr w:type="spellStart"/>
      <w:r>
        <w:rPr>
          <w:b/>
        </w:rPr>
        <w:t>TotM</w:t>
      </w:r>
      <w:proofErr w:type="spellEnd"/>
      <w:r>
        <w:rPr>
          <w:b/>
        </w:rPr>
        <w:t xml:space="preserve"> and </w:t>
      </w:r>
      <w:proofErr w:type="spellStart"/>
      <w:r>
        <w:rPr>
          <w:b/>
        </w:rPr>
        <w:t>TotMM</w:t>
      </w:r>
      <w:proofErr w:type="spellEnd"/>
      <w:r>
        <w:rPr>
          <w:b/>
        </w:rPr>
        <w:t>) should be played</w:t>
      </w:r>
      <w:r>
        <w:t xml:space="preserve">. </w:t>
      </w:r>
    </w:p>
    <w:p w14:paraId="6EEBED2E" w14:textId="77777777" w:rsidR="0020214C" w:rsidRDefault="003F4C7F">
      <w:pPr>
        <w:spacing w:before="80" w:line="273" w:lineRule="auto"/>
        <w:jc w:val="both"/>
        <w:rPr>
          <w:b/>
        </w:rPr>
      </w:pPr>
      <w:r>
        <w:rPr>
          <w:b/>
        </w:rPr>
        <w:t>Our</w:t>
      </w:r>
      <w:r>
        <w:t xml:space="preserve"> </w:t>
      </w:r>
      <w:r>
        <w:rPr>
          <w:b/>
        </w:rPr>
        <w:t>recommendation is to use this Short-Term Contango Indicator (STCI) in the following way:</w:t>
      </w:r>
    </w:p>
    <w:p w14:paraId="6BF6F97D" w14:textId="77777777" w:rsidR="0020214C" w:rsidRDefault="003F4C7F">
      <w:pPr>
        <w:numPr>
          <w:ilvl w:val="0"/>
          <w:numId w:val="3"/>
        </w:numPr>
        <w:spacing w:before="80" w:line="273" w:lineRule="auto"/>
        <w:jc w:val="both"/>
        <w:rPr>
          <w:b/>
        </w:rPr>
      </w:pPr>
      <w:r>
        <w:rPr>
          <w:b/>
        </w:rPr>
        <w:t xml:space="preserve">all of the FOMC and Holiday signals have to be played, regardless </w:t>
      </w:r>
      <w:r>
        <w:rPr>
          <w:b/>
        </w:rPr>
        <w:t>the STCI;</w:t>
      </w:r>
    </w:p>
    <w:p w14:paraId="7CCE334E" w14:textId="77777777" w:rsidR="0020214C" w:rsidRDefault="003F4C7F">
      <w:pPr>
        <w:numPr>
          <w:ilvl w:val="0"/>
          <w:numId w:val="3"/>
        </w:numPr>
        <w:spacing w:before="80" w:line="273" w:lineRule="auto"/>
        <w:jc w:val="both"/>
        <w:rPr>
          <w:b/>
        </w:rPr>
      </w:pPr>
      <w:r>
        <w:rPr>
          <w:b/>
        </w:rPr>
        <w:t xml:space="preserve">on weaker bullish days (OPEX, VIXFUTEX, </w:t>
      </w:r>
      <w:proofErr w:type="spellStart"/>
      <w:r>
        <w:rPr>
          <w:b/>
        </w:rPr>
        <w:t>TotM</w:t>
      </w:r>
      <w:proofErr w:type="spellEnd"/>
      <w:r>
        <w:rPr>
          <w:b/>
        </w:rPr>
        <w:t xml:space="preserve"> and </w:t>
      </w:r>
      <w:proofErr w:type="spellStart"/>
      <w:r>
        <w:rPr>
          <w:b/>
        </w:rPr>
        <w:t>TotMM</w:t>
      </w:r>
      <w:proofErr w:type="spellEnd"/>
      <w:r>
        <w:rPr>
          <w:b/>
        </w:rPr>
        <w:t xml:space="preserve">) play the </w:t>
      </w:r>
      <w:proofErr w:type="spellStart"/>
      <w:r>
        <w:rPr>
          <w:b/>
        </w:rPr>
        <w:t>UberMix</w:t>
      </w:r>
      <w:proofErr w:type="spellEnd"/>
      <w:r>
        <w:rPr>
          <w:b/>
        </w:rPr>
        <w:t xml:space="preserve"> basket if and only if the STCI closed above +2% contango (25</w:t>
      </w:r>
      <w:r>
        <w:rPr>
          <w:b/>
          <w:vertAlign w:val="superscript"/>
        </w:rPr>
        <w:t>th</w:t>
      </w:r>
      <w:r>
        <w:rPr>
          <w:b/>
        </w:rPr>
        <w:t xml:space="preserve"> percentile) on previous day (so, stay in cash if contango is not big enough);</w:t>
      </w:r>
    </w:p>
    <w:p w14:paraId="0D934421" w14:textId="77777777" w:rsidR="0020214C" w:rsidRDefault="003F4C7F">
      <w:pPr>
        <w:numPr>
          <w:ilvl w:val="0"/>
          <w:numId w:val="3"/>
        </w:numPr>
        <w:spacing w:before="80" w:line="273" w:lineRule="auto"/>
        <w:jc w:val="both"/>
        <w:rPr>
          <w:b/>
        </w:rPr>
      </w:pPr>
      <w:r>
        <w:rPr>
          <w:b/>
        </w:rPr>
        <w:t>on weaker bearish days (OPEX, VI</w:t>
      </w:r>
      <w:r>
        <w:rPr>
          <w:b/>
        </w:rPr>
        <w:t xml:space="preserve">XFUTEX, </w:t>
      </w:r>
      <w:proofErr w:type="spellStart"/>
      <w:r>
        <w:rPr>
          <w:b/>
        </w:rPr>
        <w:t>TotM</w:t>
      </w:r>
      <w:proofErr w:type="spellEnd"/>
      <w:r>
        <w:rPr>
          <w:b/>
        </w:rPr>
        <w:t xml:space="preserve"> and </w:t>
      </w:r>
      <w:proofErr w:type="spellStart"/>
      <w:r>
        <w:rPr>
          <w:b/>
        </w:rPr>
        <w:t>TotMM</w:t>
      </w:r>
      <w:proofErr w:type="spellEnd"/>
      <w:r>
        <w:rPr>
          <w:b/>
        </w:rPr>
        <w:t>) play long VXX if and only if the STCI closed below +9% contango (75</w:t>
      </w:r>
      <w:r>
        <w:rPr>
          <w:b/>
          <w:vertAlign w:val="superscript"/>
        </w:rPr>
        <w:t>th</w:t>
      </w:r>
      <w:r>
        <w:rPr>
          <w:b/>
        </w:rPr>
        <w:t xml:space="preserve"> percentile) on previous day (so, stay in cash if contango is too deep).</w:t>
      </w:r>
    </w:p>
    <w:p w14:paraId="65A96527" w14:textId="77777777" w:rsidR="0020214C" w:rsidRDefault="003F4C7F">
      <w:pPr>
        <w:spacing w:before="80" w:line="273" w:lineRule="auto"/>
        <w:jc w:val="both"/>
      </w:pPr>
      <w:r>
        <w:t>The strategy with this modification has even better past performance.</w:t>
      </w:r>
    </w:p>
    <w:p w14:paraId="2E9A67BB" w14:textId="77777777" w:rsidR="0020214C" w:rsidRDefault="003F4C7F">
      <w:pPr>
        <w:spacing w:before="120" w:line="271" w:lineRule="auto"/>
        <w:jc w:val="both"/>
      </w:pPr>
      <w:r>
        <w:t xml:space="preserve">Finally, for </w:t>
      </w:r>
      <w:r>
        <w:rPr>
          <w:b/>
        </w:rPr>
        <w:t>risk-lo</w:t>
      </w:r>
      <w:r>
        <w:rPr>
          <w:b/>
        </w:rPr>
        <w:t>ving investors</w:t>
      </w:r>
      <w:r>
        <w:t xml:space="preserve">, we </w:t>
      </w:r>
      <w:r>
        <w:rPr>
          <w:b/>
        </w:rPr>
        <w:t>extended the number of played bullish days using this STCI</w:t>
      </w:r>
      <w:r>
        <w:t xml:space="preserve"> (when market is calm and has positive outlook).</w:t>
      </w:r>
    </w:p>
    <w:p w14:paraId="748A2D3F" w14:textId="77777777" w:rsidR="0020214C" w:rsidRDefault="003F4C7F">
      <w:pPr>
        <w:spacing w:before="80" w:line="273" w:lineRule="auto"/>
        <w:jc w:val="both"/>
        <w:rPr>
          <w:b/>
        </w:rPr>
      </w:pPr>
      <w:r>
        <w:rPr>
          <w:b/>
        </w:rPr>
        <w:t>In our opinion, this revisited Renewed Uber Strategy using Short-Term Contango Indicator should be played in real life (but definitely without options).</w:t>
      </w:r>
      <w:r>
        <w:br w:type="page"/>
      </w:r>
    </w:p>
    <w:p w14:paraId="73F6D28E" w14:textId="77777777" w:rsidR="0020214C" w:rsidRDefault="003F4C7F">
      <w:pPr>
        <w:pStyle w:val="Heading1"/>
        <w:spacing w:before="80" w:line="273" w:lineRule="auto"/>
        <w:jc w:val="both"/>
        <w:rPr>
          <w:color w:val="38761D"/>
        </w:rPr>
      </w:pPr>
      <w:bookmarkStart w:id="13" w:name="_91ckij93zkck" w:colFirst="0" w:colLast="0"/>
      <w:bookmarkEnd w:id="13"/>
      <w:r>
        <w:rPr>
          <w:color w:val="38761D"/>
        </w:rPr>
        <w:lastRenderedPageBreak/>
        <w:t>Remark</w:t>
      </w:r>
    </w:p>
    <w:p w14:paraId="5EF87769" w14:textId="77777777" w:rsidR="0020214C" w:rsidRDefault="003F4C7F">
      <w:pPr>
        <w:shd w:val="clear" w:color="auto" w:fill="FFFFFF"/>
        <w:spacing w:before="80" w:line="273" w:lineRule="auto"/>
        <w:jc w:val="both"/>
        <w:rPr>
          <w:i/>
          <w:sz w:val="20"/>
          <w:szCs w:val="20"/>
        </w:rPr>
      </w:pPr>
      <w:r>
        <w:rPr>
          <w:i/>
          <w:color w:val="222222"/>
        </w:rPr>
        <w:t xml:space="preserve">On 2019-07-23 we started trading this strategy live. </w:t>
      </w:r>
      <w:r>
        <w:rPr>
          <w:i/>
          <w:sz w:val="20"/>
          <w:szCs w:val="20"/>
        </w:rPr>
        <w:t xml:space="preserve">Compared to the </w:t>
      </w:r>
      <w:proofErr w:type="spellStart"/>
      <w:r>
        <w:rPr>
          <w:i/>
          <w:sz w:val="20"/>
          <w:szCs w:val="20"/>
        </w:rPr>
        <w:t>backtested</w:t>
      </w:r>
      <w:proofErr w:type="spellEnd"/>
      <w:r>
        <w:rPr>
          <w:i/>
          <w:sz w:val="20"/>
          <w:szCs w:val="20"/>
        </w:rPr>
        <w:t xml:space="preserve"> ‘Extended Renew</w:t>
      </w:r>
      <w:r>
        <w:rPr>
          <w:i/>
          <w:sz w:val="20"/>
          <w:szCs w:val="20"/>
        </w:rPr>
        <w:t>ed Uber Strategy using STCI’ (</w:t>
      </w:r>
      <w:hyperlink r:id="rId67" w:anchor="bookmark=id.qum5jd6dxkby">
        <w:r>
          <w:rPr>
            <w:i/>
            <w:color w:val="1155CC"/>
            <w:sz w:val="20"/>
            <w:szCs w:val="20"/>
            <w:u w:val="single"/>
          </w:rPr>
          <w:t>page 26</w:t>
        </w:r>
      </w:hyperlink>
      <w:r>
        <w:rPr>
          <w:i/>
          <w:sz w:val="20"/>
          <w:szCs w:val="20"/>
        </w:rPr>
        <w:t xml:space="preserve">), in real-life trading we aim to decrease leverage a bit for decreasing future </w:t>
      </w:r>
      <w:proofErr w:type="spellStart"/>
      <w:r>
        <w:rPr>
          <w:i/>
          <w:sz w:val="20"/>
          <w:szCs w:val="20"/>
        </w:rPr>
        <w:t>StDev</w:t>
      </w:r>
      <w:proofErr w:type="spellEnd"/>
      <w:r>
        <w:rPr>
          <w:i/>
          <w:sz w:val="20"/>
          <w:szCs w:val="20"/>
        </w:rPr>
        <w:t xml:space="preserve"> and </w:t>
      </w:r>
      <w:proofErr w:type="spellStart"/>
      <w:r>
        <w:rPr>
          <w:i/>
          <w:sz w:val="20"/>
          <w:szCs w:val="20"/>
        </w:rPr>
        <w:t>maxDD</w:t>
      </w:r>
      <w:proofErr w:type="spellEnd"/>
      <w:r>
        <w:rPr>
          <w:i/>
          <w:sz w:val="20"/>
          <w:szCs w:val="20"/>
        </w:rPr>
        <w:t xml:space="preserve">. The following rules aim this under-leveraging: </w:t>
      </w:r>
    </w:p>
    <w:p w14:paraId="7D09F1A6" w14:textId="77777777" w:rsidR="0020214C" w:rsidRDefault="003F4C7F">
      <w:pPr>
        <w:shd w:val="clear" w:color="auto" w:fill="FFFFFF"/>
        <w:spacing w:line="331" w:lineRule="auto"/>
        <w:jc w:val="both"/>
        <w:rPr>
          <w:b/>
        </w:rPr>
      </w:pPr>
      <w:r>
        <w:rPr>
          <w:i/>
          <w:sz w:val="20"/>
          <w:szCs w:val="20"/>
        </w:rPr>
        <w:t xml:space="preserve">Play with 100% of PV on FOMC days (as this is the strongest part of the strategy), with 85% on Holiday days, with 70% on VIXFUTEX, OPEX, </w:t>
      </w:r>
      <w:proofErr w:type="spellStart"/>
      <w:r>
        <w:rPr>
          <w:i/>
          <w:sz w:val="20"/>
          <w:szCs w:val="20"/>
        </w:rPr>
        <w:t>TotM</w:t>
      </w:r>
      <w:proofErr w:type="spellEnd"/>
      <w:r>
        <w:rPr>
          <w:i/>
          <w:sz w:val="20"/>
          <w:szCs w:val="20"/>
        </w:rPr>
        <w:t xml:space="preserve"> and </w:t>
      </w:r>
      <w:proofErr w:type="spellStart"/>
      <w:r>
        <w:rPr>
          <w:i/>
          <w:sz w:val="20"/>
          <w:szCs w:val="20"/>
        </w:rPr>
        <w:t>TotMM</w:t>
      </w:r>
      <w:proofErr w:type="spellEnd"/>
      <w:r>
        <w:rPr>
          <w:i/>
          <w:sz w:val="20"/>
          <w:szCs w:val="20"/>
        </w:rPr>
        <w:t xml:space="preserve"> days, while with only 50% of PV on pure bullish STCI days. These deleveraging percentages have to be pla</w:t>
      </w:r>
      <w:r>
        <w:rPr>
          <w:i/>
          <w:sz w:val="20"/>
          <w:szCs w:val="20"/>
        </w:rPr>
        <w:t>yed both on bullish and bearish days."</w:t>
      </w:r>
      <w:r>
        <w:br w:type="page"/>
      </w:r>
    </w:p>
    <w:p w14:paraId="01886CD6" w14:textId="77777777" w:rsidR="0020214C" w:rsidRDefault="003F4C7F">
      <w:pPr>
        <w:pStyle w:val="Heading1"/>
        <w:rPr>
          <w:color w:val="38761D"/>
        </w:rPr>
      </w:pPr>
      <w:bookmarkStart w:id="14" w:name="_a2jw5vxlhr1o" w:colFirst="0" w:colLast="0"/>
      <w:bookmarkEnd w:id="14"/>
      <w:r>
        <w:rPr>
          <w:color w:val="38761D"/>
        </w:rPr>
        <w:lastRenderedPageBreak/>
        <w:t>Appendix</w:t>
      </w:r>
    </w:p>
    <w:p w14:paraId="69C40736" w14:textId="77777777" w:rsidR="0020214C" w:rsidRDefault="0020214C">
      <w:pPr>
        <w:jc w:val="both"/>
        <w:rPr>
          <w:rFonts w:ascii="Trebuchet MS" w:eastAsia="Trebuchet MS" w:hAnsi="Trebuchet MS" w:cs="Trebuchet MS"/>
          <w:color w:val="38761D"/>
          <w:sz w:val="32"/>
          <w:szCs w:val="32"/>
        </w:rPr>
      </w:pPr>
    </w:p>
    <w:p w14:paraId="205588AC" w14:textId="77777777" w:rsidR="0020214C" w:rsidRDefault="003F4C7F">
      <w:pPr>
        <w:jc w:val="center"/>
      </w:pPr>
      <w:r>
        <w:rPr>
          <w:sz w:val="18"/>
          <w:szCs w:val="18"/>
        </w:rPr>
        <w:t xml:space="preserve">Table 17a: Performance indicators of </w:t>
      </w:r>
      <w:proofErr w:type="spellStart"/>
      <w:r>
        <w:rPr>
          <w:sz w:val="18"/>
          <w:szCs w:val="18"/>
        </w:rPr>
        <w:t>Buy&amp;Hold</w:t>
      </w:r>
      <w:proofErr w:type="spellEnd"/>
      <w:r>
        <w:rPr>
          <w:sz w:val="18"/>
          <w:szCs w:val="18"/>
        </w:rPr>
        <w:t xml:space="preserve"> ZIV</w:t>
      </w:r>
    </w:p>
    <w:p w14:paraId="0C68FC90" w14:textId="77777777" w:rsidR="0020214C" w:rsidRDefault="003F4C7F">
      <w:pPr>
        <w:jc w:val="both"/>
      </w:pPr>
      <w:r>
        <w:rPr>
          <w:noProof/>
        </w:rPr>
        <w:drawing>
          <wp:inline distT="114300" distB="114300" distL="114300" distR="114300" wp14:anchorId="6365A812" wp14:editId="4DEDB2A6">
            <wp:extent cx="7052400" cy="3848100"/>
            <wp:effectExtent l="0" t="0" r="0" b="0"/>
            <wp:docPr id="3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8"/>
                    <a:srcRect/>
                    <a:stretch>
                      <a:fillRect/>
                    </a:stretch>
                  </pic:blipFill>
                  <pic:spPr>
                    <a:xfrm>
                      <a:off x="0" y="0"/>
                      <a:ext cx="7052400" cy="3848100"/>
                    </a:xfrm>
                    <a:prstGeom prst="rect">
                      <a:avLst/>
                    </a:prstGeom>
                    <a:ln/>
                  </pic:spPr>
                </pic:pic>
              </a:graphicData>
            </a:graphic>
          </wp:inline>
        </w:drawing>
      </w:r>
    </w:p>
    <w:p w14:paraId="32ADDE21" w14:textId="77777777" w:rsidR="0020214C" w:rsidRDefault="003F4C7F">
      <w:pPr>
        <w:jc w:val="center"/>
      </w:pPr>
      <w:r>
        <w:rPr>
          <w:sz w:val="18"/>
          <w:szCs w:val="18"/>
        </w:rPr>
        <w:t xml:space="preserve">Table 17b: Performance indicators of </w:t>
      </w:r>
      <w:proofErr w:type="spellStart"/>
      <w:r>
        <w:rPr>
          <w:sz w:val="18"/>
          <w:szCs w:val="18"/>
        </w:rPr>
        <w:t>Buy&amp;Hold</w:t>
      </w:r>
      <w:proofErr w:type="spellEnd"/>
      <w:r>
        <w:rPr>
          <w:sz w:val="18"/>
          <w:szCs w:val="18"/>
        </w:rPr>
        <w:t xml:space="preserve"> QQQ</w:t>
      </w:r>
    </w:p>
    <w:p w14:paraId="532F6C35" w14:textId="77777777" w:rsidR="0020214C" w:rsidRDefault="003F4C7F">
      <w:pPr>
        <w:jc w:val="both"/>
      </w:pPr>
      <w:r>
        <w:rPr>
          <w:noProof/>
        </w:rPr>
        <w:drawing>
          <wp:inline distT="114300" distB="114300" distL="114300" distR="114300" wp14:anchorId="32EB6AAA" wp14:editId="0C67C5DE">
            <wp:extent cx="7052400" cy="3848100"/>
            <wp:effectExtent l="0" t="0" r="0" b="0"/>
            <wp:docPr id="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9"/>
                    <a:srcRect/>
                    <a:stretch>
                      <a:fillRect/>
                    </a:stretch>
                  </pic:blipFill>
                  <pic:spPr>
                    <a:xfrm>
                      <a:off x="0" y="0"/>
                      <a:ext cx="7052400" cy="3848100"/>
                    </a:xfrm>
                    <a:prstGeom prst="rect">
                      <a:avLst/>
                    </a:prstGeom>
                    <a:ln/>
                  </pic:spPr>
                </pic:pic>
              </a:graphicData>
            </a:graphic>
          </wp:inline>
        </w:drawing>
      </w:r>
    </w:p>
    <w:p w14:paraId="5D570D63" w14:textId="77777777" w:rsidR="0020214C" w:rsidRDefault="003F4C7F">
      <w:pPr>
        <w:jc w:val="center"/>
      </w:pPr>
      <w:r>
        <w:rPr>
          <w:sz w:val="18"/>
          <w:szCs w:val="18"/>
        </w:rPr>
        <w:t xml:space="preserve">Table 17c: Performance indicators of </w:t>
      </w:r>
      <w:proofErr w:type="spellStart"/>
      <w:r>
        <w:rPr>
          <w:sz w:val="18"/>
          <w:szCs w:val="18"/>
        </w:rPr>
        <w:t>Buy&amp;Hold</w:t>
      </w:r>
      <w:proofErr w:type="spellEnd"/>
      <w:r>
        <w:rPr>
          <w:sz w:val="18"/>
          <w:szCs w:val="18"/>
        </w:rPr>
        <w:t xml:space="preserve"> SPY</w:t>
      </w:r>
    </w:p>
    <w:p w14:paraId="6FA96A86" w14:textId="77777777" w:rsidR="0020214C" w:rsidRDefault="003F4C7F">
      <w:pPr>
        <w:jc w:val="both"/>
      </w:pPr>
      <w:r>
        <w:rPr>
          <w:noProof/>
        </w:rPr>
        <w:lastRenderedPageBreak/>
        <w:drawing>
          <wp:inline distT="114300" distB="114300" distL="114300" distR="114300" wp14:anchorId="041E7B6B" wp14:editId="207159F7">
            <wp:extent cx="7052400" cy="38481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0"/>
                    <a:srcRect/>
                    <a:stretch>
                      <a:fillRect/>
                    </a:stretch>
                  </pic:blipFill>
                  <pic:spPr>
                    <a:xfrm>
                      <a:off x="0" y="0"/>
                      <a:ext cx="7052400" cy="3848100"/>
                    </a:xfrm>
                    <a:prstGeom prst="rect">
                      <a:avLst/>
                    </a:prstGeom>
                    <a:ln/>
                  </pic:spPr>
                </pic:pic>
              </a:graphicData>
            </a:graphic>
          </wp:inline>
        </w:drawing>
      </w:r>
    </w:p>
    <w:p w14:paraId="51689588" w14:textId="77777777" w:rsidR="0020214C" w:rsidRDefault="003F4C7F">
      <w:pPr>
        <w:jc w:val="center"/>
      </w:pPr>
      <w:r>
        <w:rPr>
          <w:sz w:val="18"/>
          <w:szCs w:val="18"/>
        </w:rPr>
        <w:t xml:space="preserve">Table 17d: Performance indicators of </w:t>
      </w:r>
      <w:proofErr w:type="spellStart"/>
      <w:r>
        <w:rPr>
          <w:sz w:val="18"/>
          <w:szCs w:val="18"/>
        </w:rPr>
        <w:t>Buy&amp;Hold</w:t>
      </w:r>
      <w:proofErr w:type="spellEnd"/>
      <w:r>
        <w:rPr>
          <w:sz w:val="18"/>
          <w:szCs w:val="18"/>
        </w:rPr>
        <w:t xml:space="preserve"> TLT</w:t>
      </w:r>
    </w:p>
    <w:p w14:paraId="343D702D" w14:textId="77777777" w:rsidR="0020214C" w:rsidRDefault="003F4C7F">
      <w:pPr>
        <w:jc w:val="both"/>
      </w:pPr>
      <w:r>
        <w:rPr>
          <w:noProof/>
        </w:rPr>
        <w:drawing>
          <wp:inline distT="114300" distB="114300" distL="114300" distR="114300" wp14:anchorId="37952502" wp14:editId="6FB9941E">
            <wp:extent cx="7052400" cy="3848100"/>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1"/>
                    <a:srcRect/>
                    <a:stretch>
                      <a:fillRect/>
                    </a:stretch>
                  </pic:blipFill>
                  <pic:spPr>
                    <a:xfrm>
                      <a:off x="0" y="0"/>
                      <a:ext cx="7052400" cy="3848100"/>
                    </a:xfrm>
                    <a:prstGeom prst="rect">
                      <a:avLst/>
                    </a:prstGeom>
                    <a:ln/>
                  </pic:spPr>
                </pic:pic>
              </a:graphicData>
            </a:graphic>
          </wp:inline>
        </w:drawing>
      </w:r>
      <w:r>
        <w:br w:type="page"/>
      </w:r>
    </w:p>
    <w:p w14:paraId="34054C29" w14:textId="77777777" w:rsidR="0020214C" w:rsidRDefault="003F4C7F">
      <w:pPr>
        <w:pStyle w:val="Heading1"/>
        <w:rPr>
          <w:color w:val="38761D"/>
        </w:rPr>
      </w:pPr>
      <w:bookmarkStart w:id="15" w:name="_z9x9vk5tmap6" w:colFirst="0" w:colLast="0"/>
      <w:bookmarkEnd w:id="15"/>
      <w:r>
        <w:rPr>
          <w:color w:val="38761D"/>
        </w:rPr>
        <w:lastRenderedPageBreak/>
        <w:t>Appendix 2 - Real Life Performance 2019-07-18 - 2020-02-05</w:t>
      </w:r>
    </w:p>
    <w:p w14:paraId="4A478441" w14:textId="77777777" w:rsidR="0020214C" w:rsidRDefault="0020214C"/>
    <w:p w14:paraId="34A996C4" w14:textId="77777777" w:rsidR="0020214C" w:rsidRDefault="003F4C7F">
      <w:pPr>
        <w:shd w:val="clear" w:color="auto" w:fill="FFFFFF"/>
        <w:spacing w:before="80" w:line="273" w:lineRule="auto"/>
        <w:jc w:val="both"/>
        <w:rPr>
          <w:i/>
          <w:sz w:val="20"/>
          <w:szCs w:val="20"/>
        </w:rPr>
      </w:pPr>
      <w:r>
        <w:rPr>
          <w:b/>
          <w:i/>
          <w:color w:val="222222"/>
        </w:rPr>
        <w:t>On 2019-07-23 we started trading this strategy live</w:t>
      </w:r>
      <w:r>
        <w:rPr>
          <w:i/>
          <w:color w:val="222222"/>
        </w:rPr>
        <w:t xml:space="preserve">. </w:t>
      </w:r>
      <w:r>
        <w:rPr>
          <w:i/>
          <w:sz w:val="20"/>
          <w:szCs w:val="20"/>
        </w:rPr>
        <w:t xml:space="preserve">Compared to the </w:t>
      </w:r>
      <w:proofErr w:type="spellStart"/>
      <w:r>
        <w:rPr>
          <w:i/>
          <w:sz w:val="20"/>
          <w:szCs w:val="20"/>
        </w:rPr>
        <w:t>backtested</w:t>
      </w:r>
      <w:proofErr w:type="spellEnd"/>
      <w:r>
        <w:rPr>
          <w:i/>
          <w:sz w:val="20"/>
          <w:szCs w:val="20"/>
        </w:rPr>
        <w:t xml:space="preserve"> ‘Extended Renewed Uber Strategy using STCI’ (</w:t>
      </w:r>
      <w:hyperlink w:anchor="qum5jd6dxkby">
        <w:r>
          <w:rPr>
            <w:i/>
            <w:color w:val="1155CC"/>
            <w:sz w:val="20"/>
            <w:szCs w:val="20"/>
            <w:u w:val="single"/>
          </w:rPr>
          <w:t>page 26</w:t>
        </w:r>
      </w:hyperlink>
      <w:r>
        <w:rPr>
          <w:i/>
          <w:sz w:val="20"/>
          <w:szCs w:val="20"/>
        </w:rPr>
        <w:t xml:space="preserve">), in real-life trading we aim to decrease leverage a bit for decreasing future </w:t>
      </w:r>
      <w:proofErr w:type="spellStart"/>
      <w:r>
        <w:rPr>
          <w:i/>
          <w:sz w:val="20"/>
          <w:szCs w:val="20"/>
        </w:rPr>
        <w:t>StDev</w:t>
      </w:r>
      <w:proofErr w:type="spellEnd"/>
      <w:r>
        <w:rPr>
          <w:i/>
          <w:sz w:val="20"/>
          <w:szCs w:val="20"/>
        </w:rPr>
        <w:t xml:space="preserve"> and </w:t>
      </w:r>
      <w:proofErr w:type="spellStart"/>
      <w:r>
        <w:rPr>
          <w:i/>
          <w:sz w:val="20"/>
          <w:szCs w:val="20"/>
        </w:rPr>
        <w:t>maxDD</w:t>
      </w:r>
      <w:proofErr w:type="spellEnd"/>
      <w:r>
        <w:rPr>
          <w:i/>
          <w:sz w:val="20"/>
          <w:szCs w:val="20"/>
        </w:rPr>
        <w:t xml:space="preserve">. The following rules aim this under-leveraging: </w:t>
      </w:r>
    </w:p>
    <w:p w14:paraId="6909BF48" w14:textId="77777777" w:rsidR="0020214C" w:rsidRDefault="003F4C7F">
      <w:pPr>
        <w:jc w:val="both"/>
        <w:rPr>
          <w:i/>
          <w:sz w:val="20"/>
          <w:szCs w:val="20"/>
        </w:rPr>
      </w:pPr>
      <w:r>
        <w:rPr>
          <w:i/>
          <w:sz w:val="20"/>
          <w:szCs w:val="20"/>
        </w:rPr>
        <w:t>Play with 100% of PV on FOMC days (as this is the strongest part of the strategy), with 85% on Holiday days, wi</w:t>
      </w:r>
      <w:r>
        <w:rPr>
          <w:i/>
          <w:sz w:val="20"/>
          <w:szCs w:val="20"/>
        </w:rPr>
        <w:t xml:space="preserve">th 70% on VIXFUTEX, OPEX, </w:t>
      </w:r>
      <w:proofErr w:type="spellStart"/>
      <w:r>
        <w:rPr>
          <w:i/>
          <w:sz w:val="20"/>
          <w:szCs w:val="20"/>
        </w:rPr>
        <w:t>TotM</w:t>
      </w:r>
      <w:proofErr w:type="spellEnd"/>
      <w:r>
        <w:rPr>
          <w:i/>
          <w:sz w:val="20"/>
          <w:szCs w:val="20"/>
        </w:rPr>
        <w:t xml:space="preserve"> and </w:t>
      </w:r>
      <w:proofErr w:type="spellStart"/>
      <w:r>
        <w:rPr>
          <w:i/>
          <w:sz w:val="20"/>
          <w:szCs w:val="20"/>
        </w:rPr>
        <w:t>TotMM</w:t>
      </w:r>
      <w:proofErr w:type="spellEnd"/>
      <w:r>
        <w:rPr>
          <w:i/>
          <w:sz w:val="20"/>
          <w:szCs w:val="20"/>
        </w:rPr>
        <w:t xml:space="preserve"> days, while with only 50% of PV on the 'STCI-extended' no-event days. These deleveraging percentages have to be played both on bullish and bearish days."</w:t>
      </w:r>
    </w:p>
    <w:p w14:paraId="35FC2471" w14:textId="77777777" w:rsidR="0020214C" w:rsidRDefault="0020214C"/>
    <w:p w14:paraId="250EE37C" w14:textId="77777777" w:rsidR="0020214C" w:rsidRDefault="003F4C7F">
      <w:pPr>
        <w:jc w:val="both"/>
      </w:pPr>
      <w:r>
        <w:t xml:space="preserve">After </w:t>
      </w:r>
      <w:r>
        <w:rPr>
          <w:b/>
        </w:rPr>
        <w:t>half a year</w:t>
      </w:r>
      <w:r>
        <w:t xml:space="preserve">, the </w:t>
      </w:r>
      <w:proofErr w:type="gramStart"/>
      <w:r>
        <w:rPr>
          <w:b/>
        </w:rPr>
        <w:t>real life</w:t>
      </w:r>
      <w:proofErr w:type="gramEnd"/>
      <w:r>
        <w:rPr>
          <w:b/>
        </w:rPr>
        <w:t xml:space="preserve"> profit of the strategy is a</w:t>
      </w:r>
      <w:r>
        <w:rPr>
          <w:b/>
        </w:rPr>
        <w:t>n incredible +73.4% with 8.76% maximum drawdown</w:t>
      </w:r>
      <w:r>
        <w:t xml:space="preserve"> (right after the start). Sharpe ratio is 3.24, while win percentage is 63.64%. (Chart App2-1 and Table App2-1)</w:t>
      </w:r>
    </w:p>
    <w:p w14:paraId="4739DD1F" w14:textId="77777777" w:rsidR="0020214C" w:rsidRDefault="0020214C"/>
    <w:p w14:paraId="11E4B645" w14:textId="77777777" w:rsidR="0020214C" w:rsidRDefault="003F4C7F">
      <w:pPr>
        <w:jc w:val="both"/>
      </w:pPr>
      <w:r>
        <w:rPr>
          <w:b/>
        </w:rPr>
        <w:t>The distribution of profits between the sub-strategies (i.e. events) can be considered fairly ev</w:t>
      </w:r>
      <w:r>
        <w:rPr>
          <w:b/>
        </w:rPr>
        <w:t>en</w:t>
      </w:r>
      <w:r>
        <w:t xml:space="preserve">. Table App2-2 shows that the strategy has gained </w:t>
      </w:r>
      <w:r>
        <w:rPr>
          <w:b/>
        </w:rPr>
        <w:t>+17.39% on FOMC days, +24.74% on Holiday days, +12.76% on Other Event days and +5.04% on STCI days</w:t>
      </w:r>
      <w:r>
        <w:t xml:space="preserve"> - using the </w:t>
      </w:r>
      <w:proofErr w:type="gramStart"/>
      <w:r>
        <w:t>above mentioned</w:t>
      </w:r>
      <w:proofErr w:type="gramEnd"/>
      <w:r>
        <w:t xml:space="preserve"> under-leverage percentages (Table App2-3 contains performance indicators with</w:t>
      </w:r>
      <w:r>
        <w:t xml:space="preserve">out under-leverage - </w:t>
      </w:r>
      <w:proofErr w:type="spellStart"/>
      <w:r>
        <w:t>ie</w:t>
      </w:r>
      <w:proofErr w:type="spellEnd"/>
      <w:r>
        <w:t>. using 100% leverage on every day). Furthermore, it can be seen that</w:t>
      </w:r>
      <w:r>
        <w:rPr>
          <w:b/>
        </w:rPr>
        <w:t xml:space="preserve"> both bullish and bearish days are profitable: +34.29% and +29.15% </w:t>
      </w:r>
      <w:r>
        <w:t>respectively.</w:t>
      </w:r>
    </w:p>
    <w:p w14:paraId="0E313DE6" w14:textId="77777777" w:rsidR="0020214C" w:rsidRDefault="0020214C">
      <w:pPr>
        <w:jc w:val="both"/>
      </w:pPr>
    </w:p>
    <w:p w14:paraId="12206950" w14:textId="77777777" w:rsidR="0020214C" w:rsidRDefault="003F4C7F">
      <w:pPr>
        <w:jc w:val="both"/>
      </w:pPr>
      <w:r>
        <w:t xml:space="preserve">It has to be noted that </w:t>
      </w:r>
      <w:r>
        <w:rPr>
          <w:b/>
        </w:rPr>
        <w:t>both the win percentage and the distribution of days in di</w:t>
      </w:r>
      <w:r>
        <w:rPr>
          <w:b/>
        </w:rPr>
        <w:t>fferent sub-strategies are also balanced</w:t>
      </w:r>
      <w:r>
        <w:t xml:space="preserve">: </w:t>
      </w:r>
      <w:r>
        <w:rPr>
          <w:b/>
        </w:rPr>
        <w:t xml:space="preserve">win percentage is above 60% in all cases </w:t>
      </w:r>
      <w:r>
        <w:t xml:space="preserve">(Table App2-4) and </w:t>
      </w:r>
      <w:r>
        <w:rPr>
          <w:b/>
        </w:rPr>
        <w:t xml:space="preserve">the strategy spends about 25% of its time in different sub-strategies </w:t>
      </w:r>
      <w:r>
        <w:t>(Table App2-5). The distribution of capital invested can be seen in Table App2-6.</w:t>
      </w:r>
    </w:p>
    <w:p w14:paraId="0074E3DB" w14:textId="77777777" w:rsidR="0020214C" w:rsidRDefault="0020214C">
      <w:pPr>
        <w:jc w:val="both"/>
      </w:pPr>
    </w:p>
    <w:p w14:paraId="1F55E81B" w14:textId="77777777" w:rsidR="0020214C" w:rsidRDefault="003F4C7F">
      <w:pPr>
        <w:jc w:val="both"/>
        <w:rPr>
          <w:b/>
        </w:rPr>
      </w:pPr>
      <w:r>
        <w:t>A</w:t>
      </w:r>
      <w:r>
        <w:t xml:space="preserve">ll in all, </w:t>
      </w:r>
      <w:r>
        <w:rPr>
          <w:b/>
        </w:rPr>
        <w:t>all of the parts and events of the strategy was profitable in the last half year, the high profit was not only due to luck. No changes are recommended.</w:t>
      </w:r>
    </w:p>
    <w:p w14:paraId="3DB61958" w14:textId="77777777" w:rsidR="0020214C" w:rsidRDefault="0020214C">
      <w:pPr>
        <w:jc w:val="center"/>
        <w:rPr>
          <w:sz w:val="18"/>
          <w:szCs w:val="18"/>
        </w:rPr>
      </w:pPr>
    </w:p>
    <w:p w14:paraId="0DF71987" w14:textId="77777777" w:rsidR="0020214C" w:rsidRDefault="003F4C7F">
      <w:pPr>
        <w:jc w:val="center"/>
      </w:pPr>
      <w:r>
        <w:rPr>
          <w:sz w:val="18"/>
          <w:szCs w:val="18"/>
        </w:rPr>
        <w:t>Chart App2-1: Real life PV of the Uber Extended Renewed using STCI Live strategy</w:t>
      </w:r>
    </w:p>
    <w:p w14:paraId="5B9B1606" w14:textId="77777777" w:rsidR="0020214C" w:rsidRDefault="003F4C7F">
      <w:r>
        <w:rPr>
          <w:noProof/>
        </w:rPr>
        <w:drawing>
          <wp:inline distT="114300" distB="114300" distL="114300" distR="114300" wp14:anchorId="3D742D4C" wp14:editId="2CFA93C1">
            <wp:extent cx="7048500" cy="3807188"/>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2"/>
                    <a:srcRect/>
                    <a:stretch>
                      <a:fillRect/>
                    </a:stretch>
                  </pic:blipFill>
                  <pic:spPr>
                    <a:xfrm>
                      <a:off x="0" y="0"/>
                      <a:ext cx="7048500" cy="3807188"/>
                    </a:xfrm>
                    <a:prstGeom prst="rect">
                      <a:avLst/>
                    </a:prstGeom>
                    <a:ln/>
                  </pic:spPr>
                </pic:pic>
              </a:graphicData>
            </a:graphic>
          </wp:inline>
        </w:drawing>
      </w:r>
      <w:r>
        <w:br w:type="page"/>
      </w:r>
    </w:p>
    <w:p w14:paraId="67A8D70B" w14:textId="77777777" w:rsidR="0020214C" w:rsidRDefault="003F4C7F">
      <w:pPr>
        <w:jc w:val="center"/>
      </w:pPr>
      <w:r>
        <w:rPr>
          <w:sz w:val="18"/>
          <w:szCs w:val="18"/>
        </w:rPr>
        <w:lastRenderedPageBreak/>
        <w:t>Table App2-1: Real life performance indicators</w:t>
      </w:r>
    </w:p>
    <w:p w14:paraId="534EAC4B" w14:textId="77777777" w:rsidR="0020214C" w:rsidRDefault="003F4C7F">
      <w:pPr>
        <w:jc w:val="center"/>
      </w:pPr>
      <w:r>
        <w:rPr>
          <w:noProof/>
        </w:rPr>
        <w:drawing>
          <wp:inline distT="114300" distB="114300" distL="114300" distR="114300" wp14:anchorId="2403101B" wp14:editId="248DB01B">
            <wp:extent cx="1228725" cy="2219325"/>
            <wp:effectExtent l="0" t="0" r="0" b="0"/>
            <wp:docPr id="55"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73"/>
                    <a:srcRect/>
                    <a:stretch>
                      <a:fillRect/>
                    </a:stretch>
                  </pic:blipFill>
                  <pic:spPr>
                    <a:xfrm>
                      <a:off x="0" y="0"/>
                      <a:ext cx="1228725" cy="2219325"/>
                    </a:xfrm>
                    <a:prstGeom prst="rect">
                      <a:avLst/>
                    </a:prstGeom>
                    <a:ln/>
                  </pic:spPr>
                </pic:pic>
              </a:graphicData>
            </a:graphic>
          </wp:inline>
        </w:drawing>
      </w:r>
    </w:p>
    <w:p w14:paraId="0C349749" w14:textId="77777777" w:rsidR="0020214C" w:rsidRDefault="003F4C7F">
      <w:pPr>
        <w:jc w:val="center"/>
      </w:pPr>
      <w:r>
        <w:rPr>
          <w:sz w:val="18"/>
          <w:szCs w:val="18"/>
        </w:rPr>
        <w:t>Table App2-2: Real life performance indicators</w:t>
      </w:r>
    </w:p>
    <w:p w14:paraId="589C7D6C" w14:textId="77777777" w:rsidR="0020214C" w:rsidRDefault="003F4C7F">
      <w:pPr>
        <w:jc w:val="center"/>
      </w:pPr>
      <w:r>
        <w:rPr>
          <w:noProof/>
        </w:rPr>
        <w:drawing>
          <wp:inline distT="114300" distB="114300" distL="114300" distR="114300" wp14:anchorId="6AA9BC8B" wp14:editId="0CB31E4E">
            <wp:extent cx="2752725" cy="14859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4"/>
                    <a:srcRect/>
                    <a:stretch>
                      <a:fillRect/>
                    </a:stretch>
                  </pic:blipFill>
                  <pic:spPr>
                    <a:xfrm>
                      <a:off x="0" y="0"/>
                      <a:ext cx="2752725" cy="1485900"/>
                    </a:xfrm>
                    <a:prstGeom prst="rect">
                      <a:avLst/>
                    </a:prstGeom>
                    <a:ln/>
                  </pic:spPr>
                </pic:pic>
              </a:graphicData>
            </a:graphic>
          </wp:inline>
        </w:drawing>
      </w:r>
    </w:p>
    <w:p w14:paraId="06847107" w14:textId="77777777" w:rsidR="0020214C" w:rsidRDefault="003F4C7F">
      <w:pPr>
        <w:jc w:val="center"/>
      </w:pPr>
      <w:r>
        <w:rPr>
          <w:sz w:val="18"/>
          <w:szCs w:val="18"/>
        </w:rPr>
        <w:t xml:space="preserve">Table App2-3: Theoretical performance indicators - using 100% leverage on </w:t>
      </w:r>
      <w:r>
        <w:rPr>
          <w:sz w:val="18"/>
          <w:szCs w:val="18"/>
        </w:rPr>
        <w:t>every day</w:t>
      </w:r>
    </w:p>
    <w:p w14:paraId="21F0D663" w14:textId="77777777" w:rsidR="0020214C" w:rsidRDefault="003F4C7F">
      <w:pPr>
        <w:jc w:val="center"/>
      </w:pPr>
      <w:r>
        <w:rPr>
          <w:noProof/>
        </w:rPr>
        <w:drawing>
          <wp:inline distT="114300" distB="114300" distL="114300" distR="114300" wp14:anchorId="4E9E48D6" wp14:editId="295D23EB">
            <wp:extent cx="2752725" cy="1495425"/>
            <wp:effectExtent l="0" t="0" r="0" b="0"/>
            <wp:docPr id="3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5"/>
                    <a:srcRect/>
                    <a:stretch>
                      <a:fillRect/>
                    </a:stretch>
                  </pic:blipFill>
                  <pic:spPr>
                    <a:xfrm>
                      <a:off x="0" y="0"/>
                      <a:ext cx="2752725" cy="1495425"/>
                    </a:xfrm>
                    <a:prstGeom prst="rect">
                      <a:avLst/>
                    </a:prstGeom>
                    <a:ln/>
                  </pic:spPr>
                </pic:pic>
              </a:graphicData>
            </a:graphic>
          </wp:inline>
        </w:drawing>
      </w:r>
    </w:p>
    <w:p w14:paraId="2F5D5A53" w14:textId="77777777" w:rsidR="0020214C" w:rsidRDefault="003F4C7F">
      <w:pPr>
        <w:jc w:val="center"/>
      </w:pPr>
      <w:r>
        <w:rPr>
          <w:sz w:val="18"/>
          <w:szCs w:val="18"/>
        </w:rPr>
        <w:t>Table App2-4: Win percentage of different sub-strategies</w:t>
      </w:r>
    </w:p>
    <w:p w14:paraId="2B5EEB22" w14:textId="77777777" w:rsidR="0020214C" w:rsidRDefault="003F4C7F">
      <w:pPr>
        <w:jc w:val="center"/>
      </w:pPr>
      <w:r>
        <w:rPr>
          <w:noProof/>
        </w:rPr>
        <w:drawing>
          <wp:inline distT="114300" distB="114300" distL="114300" distR="114300" wp14:anchorId="7537B09B" wp14:editId="747F1A06">
            <wp:extent cx="2752725" cy="1400175"/>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6"/>
                    <a:srcRect/>
                    <a:stretch>
                      <a:fillRect/>
                    </a:stretch>
                  </pic:blipFill>
                  <pic:spPr>
                    <a:xfrm>
                      <a:off x="0" y="0"/>
                      <a:ext cx="2752725" cy="1400175"/>
                    </a:xfrm>
                    <a:prstGeom prst="rect">
                      <a:avLst/>
                    </a:prstGeom>
                    <a:ln/>
                  </pic:spPr>
                </pic:pic>
              </a:graphicData>
            </a:graphic>
          </wp:inline>
        </w:drawing>
      </w:r>
    </w:p>
    <w:p w14:paraId="736F4E0A" w14:textId="77777777" w:rsidR="0020214C" w:rsidRDefault="003F4C7F">
      <w:pPr>
        <w:jc w:val="center"/>
      </w:pPr>
      <w:r>
        <w:rPr>
          <w:sz w:val="18"/>
          <w:szCs w:val="18"/>
        </w:rPr>
        <w:t>Table App2-5: Distribution of days in different sub-strategies</w:t>
      </w:r>
    </w:p>
    <w:p w14:paraId="1011DBE8" w14:textId="77777777" w:rsidR="0020214C" w:rsidRDefault="003F4C7F">
      <w:pPr>
        <w:jc w:val="center"/>
      </w:pPr>
      <w:r>
        <w:rPr>
          <w:noProof/>
        </w:rPr>
        <w:drawing>
          <wp:inline distT="114300" distB="114300" distL="114300" distR="114300" wp14:anchorId="4B1651CA" wp14:editId="324C84BB">
            <wp:extent cx="3362325" cy="1238250"/>
            <wp:effectExtent l="0" t="0" r="0" b="0"/>
            <wp:docPr id="4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77"/>
                    <a:srcRect/>
                    <a:stretch>
                      <a:fillRect/>
                    </a:stretch>
                  </pic:blipFill>
                  <pic:spPr>
                    <a:xfrm>
                      <a:off x="0" y="0"/>
                      <a:ext cx="3362325" cy="1238250"/>
                    </a:xfrm>
                    <a:prstGeom prst="rect">
                      <a:avLst/>
                    </a:prstGeom>
                    <a:ln/>
                  </pic:spPr>
                </pic:pic>
              </a:graphicData>
            </a:graphic>
          </wp:inline>
        </w:drawing>
      </w:r>
    </w:p>
    <w:p w14:paraId="182E19F1" w14:textId="77777777" w:rsidR="0020214C" w:rsidRDefault="003F4C7F">
      <w:pPr>
        <w:jc w:val="center"/>
        <w:rPr>
          <w:sz w:val="18"/>
          <w:szCs w:val="18"/>
        </w:rPr>
      </w:pPr>
      <w:r>
        <w:br w:type="page"/>
      </w:r>
    </w:p>
    <w:p w14:paraId="3BA5F10B" w14:textId="77777777" w:rsidR="0020214C" w:rsidRDefault="003F4C7F">
      <w:pPr>
        <w:jc w:val="center"/>
        <w:rPr>
          <w:sz w:val="18"/>
          <w:szCs w:val="18"/>
        </w:rPr>
      </w:pPr>
      <w:r>
        <w:rPr>
          <w:sz w:val="18"/>
          <w:szCs w:val="18"/>
        </w:rPr>
        <w:lastRenderedPageBreak/>
        <w:t>Table App2-6: Amount of capital invested in sub-strategies. (%Days * Leverage)</w:t>
      </w:r>
    </w:p>
    <w:p w14:paraId="681CF934" w14:textId="77777777" w:rsidR="0020214C" w:rsidRDefault="003F4C7F">
      <w:pPr>
        <w:jc w:val="center"/>
        <w:rPr>
          <w:sz w:val="18"/>
          <w:szCs w:val="18"/>
        </w:rPr>
      </w:pPr>
      <w:r>
        <w:rPr>
          <w:noProof/>
          <w:sz w:val="18"/>
          <w:szCs w:val="18"/>
        </w:rPr>
        <w:drawing>
          <wp:inline distT="114300" distB="114300" distL="114300" distR="114300" wp14:anchorId="3C8CC550" wp14:editId="7F7A5D8F">
            <wp:extent cx="3362325" cy="1495425"/>
            <wp:effectExtent l="0" t="0" r="0" b="0"/>
            <wp:docPr id="5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78"/>
                    <a:srcRect/>
                    <a:stretch>
                      <a:fillRect/>
                    </a:stretch>
                  </pic:blipFill>
                  <pic:spPr>
                    <a:xfrm>
                      <a:off x="0" y="0"/>
                      <a:ext cx="3362325" cy="1495425"/>
                    </a:xfrm>
                    <a:prstGeom prst="rect">
                      <a:avLst/>
                    </a:prstGeom>
                    <a:ln/>
                  </pic:spPr>
                </pic:pic>
              </a:graphicData>
            </a:graphic>
          </wp:inline>
        </w:drawing>
      </w:r>
    </w:p>
    <w:p w14:paraId="3A91214C" w14:textId="77777777" w:rsidR="0020214C" w:rsidRDefault="003F4C7F">
      <w:pPr>
        <w:jc w:val="center"/>
      </w:pPr>
      <w:r>
        <w:br w:type="page"/>
      </w:r>
    </w:p>
    <w:p w14:paraId="6CB73F8B" w14:textId="77777777" w:rsidR="0020214C" w:rsidRDefault="003F4C7F">
      <w:pPr>
        <w:pStyle w:val="Heading1"/>
        <w:rPr>
          <w:color w:val="38761D"/>
        </w:rPr>
      </w:pPr>
      <w:bookmarkStart w:id="16" w:name="_z8gb1w3uq0od" w:colFirst="0" w:colLast="0"/>
      <w:bookmarkEnd w:id="16"/>
      <w:r>
        <w:rPr>
          <w:color w:val="38761D"/>
        </w:rPr>
        <w:lastRenderedPageBreak/>
        <w:t>Appendix 3 - VIX Based Leverage Indicator - 2020-03-18</w:t>
      </w:r>
    </w:p>
    <w:p w14:paraId="4D0D96A8" w14:textId="77777777" w:rsidR="0020214C" w:rsidRDefault="0020214C"/>
    <w:p w14:paraId="1D5978E2" w14:textId="77777777" w:rsidR="0020214C" w:rsidRDefault="003F4C7F">
      <w:pPr>
        <w:shd w:val="clear" w:color="auto" w:fill="FFFFFF"/>
        <w:spacing w:before="80" w:line="273" w:lineRule="auto"/>
        <w:jc w:val="both"/>
        <w:rPr>
          <w:color w:val="222222"/>
        </w:rPr>
      </w:pPr>
      <w:r>
        <w:rPr>
          <w:color w:val="222222"/>
        </w:rPr>
        <w:t xml:space="preserve">On 2020-03-16 (after the VIX index reached a record high 82.69 level during the coronavirus pandemic), it was decided to </w:t>
      </w:r>
      <w:r>
        <w:rPr>
          <w:b/>
          <w:color w:val="222222"/>
        </w:rPr>
        <w:t xml:space="preserve">de-leverage the </w:t>
      </w:r>
      <w:r>
        <w:rPr>
          <w:b/>
          <w:i/>
          <w:color w:val="222222"/>
        </w:rPr>
        <w:t xml:space="preserve">‘Extended Renewed Uber using STCI Live Strategy’ </w:t>
      </w:r>
      <w:r>
        <w:rPr>
          <w:b/>
          <w:color w:val="222222"/>
        </w:rPr>
        <w:t>when the expec</w:t>
      </w:r>
      <w:r>
        <w:rPr>
          <w:b/>
          <w:color w:val="222222"/>
        </w:rPr>
        <w:t>ted volatility of the market is extremely high</w:t>
      </w:r>
      <w:r>
        <w:rPr>
          <w:color w:val="222222"/>
        </w:rPr>
        <w:t xml:space="preserve">, i.e. when the </w:t>
      </w:r>
      <w:r>
        <w:rPr>
          <w:b/>
          <w:color w:val="222222"/>
        </w:rPr>
        <w:t>VIX index is ‘too high’</w:t>
      </w:r>
      <w:r>
        <w:rPr>
          <w:color w:val="222222"/>
        </w:rPr>
        <w:t>. In these periods, more prudent, safer investments can be more effective. The situation changes from moment to moment, so neither a mean-reversion nor a follow-through st</w:t>
      </w:r>
      <w:r>
        <w:rPr>
          <w:color w:val="222222"/>
        </w:rPr>
        <w:t xml:space="preserve">rategy can be recommended with absolute certainty. In other words, </w:t>
      </w:r>
      <w:r>
        <w:rPr>
          <w:b/>
          <w:color w:val="222222"/>
        </w:rPr>
        <w:t>using a de-leverage indicator for our Renewed Uber strategy (both in case of bullish and bearish days) may be the most expedient decision (in addition to the currently used, event based lev</w:t>
      </w:r>
      <w:r>
        <w:rPr>
          <w:b/>
          <w:color w:val="222222"/>
        </w:rPr>
        <w:t xml:space="preserve">erage indicator: </w:t>
      </w:r>
      <w:r>
        <w:rPr>
          <w:color w:val="222222"/>
        </w:rPr>
        <w:t>“</w:t>
      </w:r>
      <w:r>
        <w:rPr>
          <w:i/>
          <w:color w:val="222222"/>
        </w:rPr>
        <w:t xml:space="preserve">Play with 100% of PV on FOMC days (as this is the strongest part of the strategy), with 85% on Holiday days, with 70% on VIXFUTEX, OPEX, </w:t>
      </w:r>
      <w:proofErr w:type="spellStart"/>
      <w:r>
        <w:rPr>
          <w:i/>
          <w:color w:val="222222"/>
        </w:rPr>
        <w:t>TotM</w:t>
      </w:r>
      <w:proofErr w:type="spellEnd"/>
      <w:r>
        <w:rPr>
          <w:i/>
          <w:color w:val="222222"/>
        </w:rPr>
        <w:t xml:space="preserve"> and </w:t>
      </w:r>
      <w:proofErr w:type="spellStart"/>
      <w:r>
        <w:rPr>
          <w:i/>
          <w:color w:val="222222"/>
        </w:rPr>
        <w:t>TotMM</w:t>
      </w:r>
      <w:proofErr w:type="spellEnd"/>
      <w:r>
        <w:rPr>
          <w:i/>
          <w:color w:val="222222"/>
        </w:rPr>
        <w:t xml:space="preserve"> days, while with only 50% of PV on pure bullish STCI days. These deleveraging percenta</w:t>
      </w:r>
      <w:r>
        <w:rPr>
          <w:i/>
          <w:color w:val="222222"/>
        </w:rPr>
        <w:t>ges have to be played both on bullish and bearish days.”</w:t>
      </w:r>
      <w:r>
        <w:rPr>
          <w:b/>
          <w:color w:val="222222"/>
        </w:rPr>
        <w:t>)</w:t>
      </w:r>
      <w:r>
        <w:rPr>
          <w:color w:val="222222"/>
        </w:rPr>
        <w:t>.</w:t>
      </w:r>
    </w:p>
    <w:p w14:paraId="0C7F4561" w14:textId="77777777" w:rsidR="0020214C" w:rsidRDefault="003F4C7F">
      <w:pPr>
        <w:shd w:val="clear" w:color="auto" w:fill="FFFFFF"/>
        <w:spacing w:before="80" w:line="273" w:lineRule="auto"/>
        <w:jc w:val="both"/>
        <w:rPr>
          <w:b/>
          <w:color w:val="222222"/>
        </w:rPr>
      </w:pPr>
      <w:r>
        <w:rPr>
          <w:color w:val="222222"/>
        </w:rPr>
        <w:t xml:space="preserve">Based on the distribution of historical values of the VIX (Table App3-1), </w:t>
      </w:r>
      <w:r>
        <w:rPr>
          <w:b/>
          <w:color w:val="222222"/>
        </w:rPr>
        <w:t>our recommendation is not to reduce the leverage (leverage=100%) while the VIX is below 21 (68</w:t>
      </w:r>
      <w:r>
        <w:rPr>
          <w:b/>
          <w:color w:val="222222"/>
          <w:vertAlign w:val="superscript"/>
        </w:rPr>
        <w:t>th</w:t>
      </w:r>
      <w:r>
        <w:rPr>
          <w:b/>
          <w:color w:val="222222"/>
        </w:rPr>
        <w:t xml:space="preserve"> percentile). Furthermore, </w:t>
      </w:r>
      <w:r>
        <w:rPr>
          <w:b/>
          <w:color w:val="222222"/>
        </w:rPr>
        <w:t>do not invest more than 10% of the PV when the VIX is above 30 (92</w:t>
      </w:r>
      <w:r>
        <w:rPr>
          <w:b/>
          <w:color w:val="222222"/>
          <w:vertAlign w:val="superscript"/>
        </w:rPr>
        <w:t>th</w:t>
      </w:r>
      <w:r>
        <w:rPr>
          <w:b/>
          <w:color w:val="222222"/>
        </w:rPr>
        <w:t xml:space="preserve"> percentile) - but pausing the strategy is not advisable. When the VIX is between 21 and 30, a gradual reduction of leverage is proposed.</w:t>
      </w:r>
    </w:p>
    <w:p w14:paraId="09955476" w14:textId="77777777" w:rsidR="0020214C" w:rsidRDefault="003F4C7F">
      <w:pPr>
        <w:shd w:val="clear" w:color="auto" w:fill="FFFFFF"/>
        <w:spacing w:before="160" w:line="273" w:lineRule="auto"/>
        <w:rPr>
          <w:b/>
          <w:color w:val="222222"/>
          <w:u w:val="single"/>
        </w:rPr>
      </w:pPr>
      <w:r>
        <w:rPr>
          <w:b/>
          <w:color w:val="222222"/>
          <w:u w:val="single"/>
        </w:rPr>
        <w:t>VIX Based Leverage Function:</w:t>
      </w:r>
    </w:p>
    <w:p w14:paraId="40D5EB83" w14:textId="77777777" w:rsidR="0020214C" w:rsidRDefault="003F4C7F">
      <w:pPr>
        <w:numPr>
          <w:ilvl w:val="0"/>
          <w:numId w:val="1"/>
        </w:numPr>
        <w:shd w:val="clear" w:color="auto" w:fill="FFFFFF"/>
        <w:spacing w:before="80" w:line="273" w:lineRule="auto"/>
        <w:rPr>
          <w:b/>
          <w:color w:val="222222"/>
        </w:rPr>
      </w:pPr>
      <w:r>
        <w:rPr>
          <w:b/>
          <w:color w:val="222222"/>
        </w:rPr>
        <w:t xml:space="preserve">If VIX&lt;21: </w:t>
      </w:r>
      <w:r>
        <w:rPr>
          <w:b/>
          <w:color w:val="222222"/>
        </w:rPr>
        <w:tab/>
      </w:r>
      <w:r>
        <w:rPr>
          <w:b/>
          <w:color w:val="222222"/>
        </w:rPr>
        <w:tab/>
        <w:t>leverage</w:t>
      </w:r>
      <w:r>
        <w:rPr>
          <w:b/>
          <w:color w:val="222222"/>
        </w:rPr>
        <w:t xml:space="preserve"> = 100%;</w:t>
      </w:r>
    </w:p>
    <w:p w14:paraId="69B8E6B7" w14:textId="77777777" w:rsidR="0020214C" w:rsidRDefault="003F4C7F">
      <w:pPr>
        <w:numPr>
          <w:ilvl w:val="0"/>
          <w:numId w:val="1"/>
        </w:numPr>
        <w:shd w:val="clear" w:color="auto" w:fill="FFFFFF"/>
        <w:spacing w:line="273" w:lineRule="auto"/>
        <w:rPr>
          <w:b/>
          <w:color w:val="222222"/>
        </w:rPr>
      </w:pPr>
      <w:r>
        <w:rPr>
          <w:b/>
          <w:color w:val="222222"/>
        </w:rPr>
        <w:t xml:space="preserve">If 21&lt;=VIX&lt;30: </w:t>
      </w:r>
      <w:r>
        <w:rPr>
          <w:b/>
          <w:color w:val="222222"/>
        </w:rPr>
        <w:tab/>
        <w:t>leverage = 100%-(VIX-</w:t>
      </w:r>
      <w:proofErr w:type="gramStart"/>
      <w:r>
        <w:rPr>
          <w:b/>
          <w:color w:val="222222"/>
        </w:rPr>
        <w:t>21)*</w:t>
      </w:r>
      <w:proofErr w:type="gramEnd"/>
      <w:r>
        <w:rPr>
          <w:b/>
          <w:color w:val="222222"/>
        </w:rPr>
        <w:t>10%;</w:t>
      </w:r>
    </w:p>
    <w:p w14:paraId="7577EA6C" w14:textId="77777777" w:rsidR="0020214C" w:rsidRDefault="003F4C7F">
      <w:pPr>
        <w:numPr>
          <w:ilvl w:val="0"/>
          <w:numId w:val="1"/>
        </w:numPr>
        <w:shd w:val="clear" w:color="auto" w:fill="FFFFFF"/>
        <w:spacing w:line="273" w:lineRule="auto"/>
        <w:rPr>
          <w:b/>
          <w:color w:val="222222"/>
        </w:rPr>
      </w:pPr>
      <w:r>
        <w:rPr>
          <w:b/>
          <w:color w:val="222222"/>
        </w:rPr>
        <w:t>If 30&lt;=VIX:</w:t>
      </w:r>
      <w:r>
        <w:rPr>
          <w:b/>
          <w:color w:val="222222"/>
        </w:rPr>
        <w:tab/>
      </w:r>
      <w:r>
        <w:rPr>
          <w:b/>
          <w:color w:val="222222"/>
        </w:rPr>
        <w:tab/>
        <w:t>leverage = 10%.</w:t>
      </w:r>
    </w:p>
    <w:p w14:paraId="14691950" w14:textId="77777777" w:rsidR="0020214C" w:rsidRDefault="003F4C7F">
      <w:pPr>
        <w:shd w:val="clear" w:color="auto" w:fill="FFFFFF"/>
        <w:spacing w:before="160" w:line="273" w:lineRule="auto"/>
        <w:jc w:val="both"/>
        <w:rPr>
          <w:b/>
          <w:color w:val="222222"/>
        </w:rPr>
      </w:pPr>
      <w:r>
        <w:rPr>
          <w:color w:val="222222"/>
        </w:rPr>
        <w:t xml:space="preserve">The recommended VIX Based Leverage Function and the density- and cumulative distribution function of the VIX Index can be seen in Chart App3-1. The effect of this extension on the performance indicators of the played </w:t>
      </w:r>
      <w:r>
        <w:rPr>
          <w:i/>
          <w:color w:val="222222"/>
        </w:rPr>
        <w:t xml:space="preserve">‘Extended Renewed Uber using STCI Live </w:t>
      </w:r>
      <w:r>
        <w:rPr>
          <w:i/>
          <w:color w:val="222222"/>
        </w:rPr>
        <w:t>Strategy’</w:t>
      </w:r>
      <w:r>
        <w:rPr>
          <w:color w:val="222222"/>
        </w:rPr>
        <w:t xml:space="preserve"> in the </w:t>
      </w:r>
      <w:proofErr w:type="spellStart"/>
      <w:r>
        <w:rPr>
          <w:color w:val="222222"/>
        </w:rPr>
        <w:t>backtested</w:t>
      </w:r>
      <w:proofErr w:type="spellEnd"/>
      <w:r>
        <w:rPr>
          <w:color w:val="222222"/>
        </w:rPr>
        <w:t xml:space="preserve"> period (2004-2019H1) can be found in Table App3-2.</w:t>
      </w:r>
    </w:p>
    <w:p w14:paraId="1EFCD114" w14:textId="77777777" w:rsidR="0020214C" w:rsidRDefault="003F4C7F">
      <w:pPr>
        <w:jc w:val="center"/>
        <w:rPr>
          <w:color w:val="222222"/>
        </w:rPr>
      </w:pPr>
      <w:r>
        <w:rPr>
          <w:sz w:val="18"/>
          <w:szCs w:val="18"/>
        </w:rPr>
        <w:t>Table App3-1: Distribution of VIX level from 1990 to 2020</w:t>
      </w:r>
    </w:p>
    <w:p w14:paraId="63EDBCE3" w14:textId="77777777" w:rsidR="0020214C" w:rsidRDefault="003F4C7F">
      <w:pPr>
        <w:shd w:val="clear" w:color="auto" w:fill="FFFFFF"/>
        <w:spacing w:before="80" w:line="273" w:lineRule="auto"/>
        <w:jc w:val="center"/>
        <w:rPr>
          <w:color w:val="222222"/>
        </w:rPr>
      </w:pPr>
      <w:r>
        <w:rPr>
          <w:noProof/>
          <w:color w:val="222222"/>
        </w:rPr>
        <w:drawing>
          <wp:inline distT="114300" distB="114300" distL="114300" distR="114300" wp14:anchorId="14642C71" wp14:editId="62099755">
            <wp:extent cx="1194606" cy="3873138"/>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9"/>
                    <a:srcRect/>
                    <a:stretch>
                      <a:fillRect/>
                    </a:stretch>
                  </pic:blipFill>
                  <pic:spPr>
                    <a:xfrm>
                      <a:off x="0" y="0"/>
                      <a:ext cx="1194606" cy="3873138"/>
                    </a:xfrm>
                    <a:prstGeom prst="rect">
                      <a:avLst/>
                    </a:prstGeom>
                    <a:ln/>
                  </pic:spPr>
                </pic:pic>
              </a:graphicData>
            </a:graphic>
          </wp:inline>
        </w:drawing>
      </w:r>
    </w:p>
    <w:p w14:paraId="32743B63" w14:textId="77777777" w:rsidR="0020214C" w:rsidRDefault="0020214C">
      <w:pPr>
        <w:shd w:val="clear" w:color="auto" w:fill="FFFFFF"/>
        <w:spacing w:before="80" w:line="273" w:lineRule="auto"/>
        <w:rPr>
          <w:b/>
          <w:color w:val="222222"/>
        </w:rPr>
      </w:pPr>
    </w:p>
    <w:p w14:paraId="30172686" w14:textId="77777777" w:rsidR="0020214C" w:rsidRDefault="003F4C7F">
      <w:pPr>
        <w:jc w:val="center"/>
        <w:rPr>
          <w:color w:val="222222"/>
        </w:rPr>
      </w:pPr>
      <w:r>
        <w:rPr>
          <w:sz w:val="18"/>
          <w:szCs w:val="18"/>
        </w:rPr>
        <w:t>Chart App2-1: VIX based leverage and the density and cumulative distribution of VIX</w:t>
      </w:r>
    </w:p>
    <w:p w14:paraId="032DA931" w14:textId="77777777" w:rsidR="0020214C" w:rsidRDefault="003F4C7F">
      <w:pPr>
        <w:shd w:val="clear" w:color="auto" w:fill="FFFFFF"/>
        <w:spacing w:before="80" w:line="273" w:lineRule="auto"/>
        <w:jc w:val="both"/>
        <w:rPr>
          <w:color w:val="222222"/>
        </w:rPr>
      </w:pPr>
      <w:r>
        <w:rPr>
          <w:noProof/>
          <w:color w:val="222222"/>
        </w:rPr>
        <w:drawing>
          <wp:inline distT="114300" distB="114300" distL="114300" distR="114300" wp14:anchorId="24FF7F22" wp14:editId="78BCFA5D">
            <wp:extent cx="7052400" cy="3708400"/>
            <wp:effectExtent l="0" t="0" r="0" b="0"/>
            <wp:docPr id="2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0"/>
                    <a:srcRect/>
                    <a:stretch>
                      <a:fillRect/>
                    </a:stretch>
                  </pic:blipFill>
                  <pic:spPr>
                    <a:xfrm>
                      <a:off x="0" y="0"/>
                      <a:ext cx="7052400" cy="3708400"/>
                    </a:xfrm>
                    <a:prstGeom prst="rect">
                      <a:avLst/>
                    </a:prstGeom>
                    <a:ln/>
                  </pic:spPr>
                </pic:pic>
              </a:graphicData>
            </a:graphic>
          </wp:inline>
        </w:drawing>
      </w:r>
    </w:p>
    <w:p w14:paraId="09C06D5C" w14:textId="77777777" w:rsidR="0020214C" w:rsidRDefault="0020214C">
      <w:pPr>
        <w:jc w:val="center"/>
        <w:rPr>
          <w:sz w:val="18"/>
          <w:szCs w:val="18"/>
        </w:rPr>
      </w:pPr>
    </w:p>
    <w:p w14:paraId="36300A83" w14:textId="77777777" w:rsidR="0020214C" w:rsidRDefault="003F4C7F">
      <w:pPr>
        <w:jc w:val="center"/>
        <w:rPr>
          <w:color w:val="222222"/>
        </w:rPr>
      </w:pPr>
      <w:r>
        <w:rPr>
          <w:sz w:val="18"/>
          <w:szCs w:val="18"/>
        </w:rPr>
        <w:t>Table App3-2: Performance ind</w:t>
      </w:r>
      <w:r>
        <w:rPr>
          <w:sz w:val="18"/>
          <w:szCs w:val="18"/>
        </w:rPr>
        <w:t>icators</w:t>
      </w:r>
    </w:p>
    <w:p w14:paraId="6C1014E0" w14:textId="77777777" w:rsidR="0020214C" w:rsidRDefault="003F4C7F">
      <w:pPr>
        <w:shd w:val="clear" w:color="auto" w:fill="FFFFFF"/>
        <w:spacing w:before="80" w:line="273" w:lineRule="auto"/>
        <w:ind w:left="5669" w:hanging="5669"/>
        <w:jc w:val="center"/>
        <w:rPr>
          <w:color w:val="222222"/>
        </w:rPr>
      </w:pPr>
      <w:r>
        <w:rPr>
          <w:noProof/>
          <w:color w:val="222222"/>
        </w:rPr>
        <w:drawing>
          <wp:inline distT="114300" distB="114300" distL="114300" distR="114300" wp14:anchorId="04DDB8C6" wp14:editId="4906487D">
            <wp:extent cx="5067300" cy="2257425"/>
            <wp:effectExtent l="0" t="0" r="0" b="0"/>
            <wp:docPr id="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1"/>
                    <a:srcRect/>
                    <a:stretch>
                      <a:fillRect/>
                    </a:stretch>
                  </pic:blipFill>
                  <pic:spPr>
                    <a:xfrm>
                      <a:off x="0" y="0"/>
                      <a:ext cx="5067300" cy="2257425"/>
                    </a:xfrm>
                    <a:prstGeom prst="rect">
                      <a:avLst/>
                    </a:prstGeom>
                    <a:ln/>
                  </pic:spPr>
                </pic:pic>
              </a:graphicData>
            </a:graphic>
          </wp:inline>
        </w:drawing>
      </w:r>
      <w:r>
        <w:rPr>
          <w:noProof/>
          <w:color w:val="222222"/>
        </w:rPr>
        <mc:AlternateContent>
          <mc:Choice Requires="wpg">
            <w:drawing>
              <wp:inline distT="114300" distB="114300" distL="114300" distR="114300" wp14:anchorId="1117C4F8" wp14:editId="57EC249A">
                <wp:extent cx="3000375" cy="1857375"/>
                <wp:effectExtent l="0" t="0" r="0" b="0"/>
                <wp:docPr id="1" name="Group 1"/>
                <wp:cNvGraphicFramePr/>
                <a:graphic xmlns:a="http://schemas.openxmlformats.org/drawingml/2006/main">
                  <a:graphicData uri="http://schemas.microsoft.com/office/word/2010/wordprocessingGroup">
                    <wpg:wgp>
                      <wpg:cNvGrpSpPr/>
                      <wpg:grpSpPr>
                        <a:xfrm>
                          <a:off x="0" y="0"/>
                          <a:ext cx="3000375" cy="1857375"/>
                          <a:chOff x="3818000" y="1297550"/>
                          <a:chExt cx="5214175" cy="2930925"/>
                        </a:xfrm>
                      </wpg:grpSpPr>
                      <wps:wsp>
                        <wps:cNvPr id="58" name="Arrow: Up 58"/>
                        <wps:cNvSpPr/>
                        <wps:spPr>
                          <a:xfrm>
                            <a:off x="4477700" y="1297550"/>
                            <a:ext cx="907200" cy="1531500"/>
                          </a:xfrm>
                          <a:prstGeom prst="up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584B4747" w14:textId="77777777" w:rsidR="0020214C" w:rsidRDefault="0020214C">
                              <w:pPr>
                                <w:spacing w:line="240" w:lineRule="auto"/>
                                <w:textDirection w:val="btLr"/>
                              </w:pPr>
                            </w:p>
                          </w:txbxContent>
                        </wps:txbx>
                        <wps:bodyPr spcFirstLastPara="1" wrap="square" lIns="91425" tIns="91425" rIns="91425" bIns="91425" anchor="ctr" anchorCtr="0">
                          <a:noAutofit/>
                        </wps:bodyPr>
                      </wps:wsp>
                      <wps:wsp>
                        <wps:cNvPr id="59" name="Text Box 59"/>
                        <wps:cNvSpPr txBox="1"/>
                        <wps:spPr>
                          <a:xfrm>
                            <a:off x="3818000" y="2916875"/>
                            <a:ext cx="2226600" cy="1311600"/>
                          </a:xfrm>
                          <a:prstGeom prst="rect">
                            <a:avLst/>
                          </a:prstGeom>
                          <a:noFill/>
                          <a:ln>
                            <a:noFill/>
                          </a:ln>
                        </wps:spPr>
                        <wps:txbx>
                          <w:txbxContent>
                            <w:p w14:paraId="516D61BE" w14:textId="77777777" w:rsidR="0020214C" w:rsidRDefault="003F4C7F">
                              <w:pPr>
                                <w:spacing w:line="240" w:lineRule="auto"/>
                                <w:jc w:val="center"/>
                                <w:textDirection w:val="btLr"/>
                              </w:pPr>
                              <w:r>
                                <w:rPr>
                                  <w:b/>
                                  <w:color w:val="FF0000"/>
                                  <w:sz w:val="48"/>
                                </w:rPr>
                                <w:t>CURRENTLY</w:t>
                              </w:r>
                              <w:r>
                                <w:rPr>
                                  <w:b/>
                                  <w:color w:val="FF0000"/>
                                  <w:sz w:val="48"/>
                                </w:rPr>
                                <w:br/>
                                <w:t>PLAYED</w:t>
                              </w:r>
                            </w:p>
                          </w:txbxContent>
                        </wps:txbx>
                        <wps:bodyPr spcFirstLastPara="1" wrap="square" lIns="91425" tIns="91425" rIns="91425" bIns="91425" anchor="t" anchorCtr="0">
                          <a:noAutofit/>
                        </wps:bodyPr>
                      </wps:wsp>
                      <wps:wsp>
                        <wps:cNvPr id="60" name="Arrow: Up 60"/>
                        <wps:cNvSpPr/>
                        <wps:spPr>
                          <a:xfrm>
                            <a:off x="6464100" y="1297550"/>
                            <a:ext cx="907200" cy="1531500"/>
                          </a:xfrm>
                          <a:prstGeom prst="up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2C47C706" w14:textId="77777777" w:rsidR="0020214C" w:rsidRDefault="0020214C">
                              <w:pPr>
                                <w:spacing w:line="240" w:lineRule="auto"/>
                                <w:textDirection w:val="btLr"/>
                              </w:pPr>
                            </w:p>
                          </w:txbxContent>
                        </wps:txbx>
                        <wps:bodyPr spcFirstLastPara="1" wrap="square" lIns="91425" tIns="91425" rIns="91425" bIns="91425" anchor="ctr" anchorCtr="0">
                          <a:noAutofit/>
                        </wps:bodyPr>
                      </wps:wsp>
                      <wps:wsp>
                        <wps:cNvPr id="61" name="Text Box 61"/>
                        <wps:cNvSpPr txBox="1"/>
                        <wps:spPr>
                          <a:xfrm>
                            <a:off x="5564175" y="2916875"/>
                            <a:ext cx="3468000" cy="1311600"/>
                          </a:xfrm>
                          <a:prstGeom prst="rect">
                            <a:avLst/>
                          </a:prstGeom>
                          <a:noFill/>
                          <a:ln>
                            <a:noFill/>
                          </a:ln>
                        </wps:spPr>
                        <wps:txbx>
                          <w:txbxContent>
                            <w:p w14:paraId="339C1E75" w14:textId="77777777" w:rsidR="0020214C" w:rsidRDefault="003F4C7F">
                              <w:pPr>
                                <w:spacing w:line="240" w:lineRule="auto"/>
                                <w:jc w:val="center"/>
                                <w:textDirection w:val="btLr"/>
                              </w:pPr>
                              <w:r>
                                <w:rPr>
                                  <w:b/>
                                  <w:color w:val="FF0000"/>
                                  <w:sz w:val="48"/>
                                </w:rPr>
                                <w:t>RECOMMENDED</w:t>
                              </w:r>
                            </w:p>
                          </w:txbxContent>
                        </wps:txbx>
                        <wps:bodyPr spcFirstLastPara="1" wrap="square" lIns="91425" tIns="91425" rIns="91425" bIns="91425" anchor="t" anchorCtr="0">
                          <a:no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000375" cy="1857375"/>
                <wp:effectExtent b="0" l="0" r="0" t="0"/>
                <wp:docPr id="1" name="image18.png"/>
                <a:graphic>
                  <a:graphicData uri="http://schemas.openxmlformats.org/drawingml/2006/picture">
                    <pic:pic>
                      <pic:nvPicPr>
                        <pic:cNvPr id="0" name="image18.png"/>
                        <pic:cNvPicPr preferRelativeResize="0"/>
                      </pic:nvPicPr>
                      <pic:blipFill>
                        <a:blip r:embed="rId82"/>
                        <a:srcRect/>
                        <a:stretch>
                          <a:fillRect/>
                        </a:stretch>
                      </pic:blipFill>
                      <pic:spPr>
                        <a:xfrm>
                          <a:off x="0" y="0"/>
                          <a:ext cx="3000375" cy="1857375"/>
                        </a:xfrm>
                        <a:prstGeom prst="rect"/>
                        <a:ln/>
                      </pic:spPr>
                    </pic:pic>
                  </a:graphicData>
                </a:graphic>
              </wp:inline>
            </w:drawing>
          </mc:Fallback>
        </mc:AlternateContent>
      </w:r>
    </w:p>
    <w:sectPr w:rsidR="0020214C">
      <w:headerReference w:type="even" r:id="rId83"/>
      <w:headerReference w:type="default" r:id="rId84"/>
      <w:footerReference w:type="even" r:id="rId85"/>
      <w:footerReference w:type="default" r:id="rId86"/>
      <w:headerReference w:type="first" r:id="rId87"/>
      <w:footerReference w:type="first" r:id="rId88"/>
      <w:pgSz w:w="12240" w:h="15840"/>
      <w:pgMar w:top="566" w:right="566" w:bottom="566" w:left="566"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9BD1B9" w14:textId="77777777" w:rsidR="003F4C7F" w:rsidRDefault="003F4C7F">
      <w:pPr>
        <w:spacing w:line="240" w:lineRule="auto"/>
      </w:pPr>
      <w:r>
        <w:separator/>
      </w:r>
    </w:p>
  </w:endnote>
  <w:endnote w:type="continuationSeparator" w:id="0">
    <w:p w14:paraId="2130B34D" w14:textId="77777777" w:rsidR="003F4C7F" w:rsidRDefault="003F4C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A0170" w14:textId="77777777" w:rsidR="0048192A" w:rsidRDefault="004819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91969" w14:textId="77777777" w:rsidR="0020214C" w:rsidRDefault="003F4C7F">
    <w:pPr>
      <w:pBdr>
        <w:top w:val="nil"/>
        <w:left w:val="nil"/>
        <w:bottom w:val="nil"/>
        <w:right w:val="nil"/>
        <w:between w:val="nil"/>
      </w:pBdr>
      <w:jc w:val="right"/>
    </w:pPr>
    <w:r>
      <w:fldChar w:fldCharType="begin"/>
    </w:r>
    <w:r>
      <w:instrText>PAGE</w:instrText>
    </w:r>
    <w:r w:rsidR="0048192A">
      <w:fldChar w:fldCharType="separate"/>
    </w:r>
    <w:r w:rsidR="0048192A">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4B950" w14:textId="77777777" w:rsidR="0048192A" w:rsidRDefault="004819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8E9302" w14:textId="77777777" w:rsidR="003F4C7F" w:rsidRDefault="003F4C7F">
      <w:pPr>
        <w:spacing w:line="240" w:lineRule="auto"/>
      </w:pPr>
      <w:r>
        <w:separator/>
      </w:r>
    </w:p>
  </w:footnote>
  <w:footnote w:type="continuationSeparator" w:id="0">
    <w:p w14:paraId="7DEB389E" w14:textId="77777777" w:rsidR="003F4C7F" w:rsidRDefault="003F4C7F">
      <w:pPr>
        <w:spacing w:line="240" w:lineRule="auto"/>
      </w:pPr>
      <w:r>
        <w:continuationSeparator/>
      </w:r>
    </w:p>
  </w:footnote>
  <w:footnote w:id="1">
    <w:p w14:paraId="642F8647" w14:textId="77777777" w:rsidR="0020214C" w:rsidRDefault="003F4C7F">
      <w:pPr>
        <w:spacing w:line="240" w:lineRule="auto"/>
        <w:rPr>
          <w:sz w:val="20"/>
          <w:szCs w:val="20"/>
        </w:rPr>
      </w:pPr>
      <w:r>
        <w:rPr>
          <w:vertAlign w:val="superscript"/>
        </w:rPr>
        <w:footnoteRef/>
      </w:r>
      <w:r>
        <w:rPr>
          <w:sz w:val="20"/>
          <w:szCs w:val="20"/>
        </w:rPr>
        <w:t xml:space="preserve"> Remark 1: It is interesting to see that all of the examined ETPs but short oil (short UWT) were lossmaking in 2018, while in 2019, just the opposite is true.</w:t>
      </w:r>
      <w:r>
        <w:rPr>
          <w:sz w:val="20"/>
          <w:szCs w:val="20"/>
        </w:rPr>
        <w:br/>
        <w:t>Remark 2: UberMix basket should not be played in 2028 (2008, 2018 …) ☺</w:t>
      </w:r>
    </w:p>
  </w:footnote>
  <w:footnote w:id="2">
    <w:p w14:paraId="0E3F3933" w14:textId="77777777" w:rsidR="0020214C" w:rsidRDefault="003F4C7F">
      <w:pPr>
        <w:spacing w:line="240" w:lineRule="auto"/>
        <w:rPr>
          <w:sz w:val="20"/>
          <w:szCs w:val="20"/>
        </w:rPr>
      </w:pPr>
      <w:r>
        <w:rPr>
          <w:vertAlign w:val="superscript"/>
        </w:rPr>
        <w:footnoteRef/>
      </w:r>
      <w:r>
        <w:rPr>
          <w:sz w:val="20"/>
          <w:szCs w:val="20"/>
        </w:rPr>
        <w:t xml:space="preserve"> The green line indicates</w:t>
      </w:r>
      <w:r>
        <w:rPr>
          <w:sz w:val="20"/>
          <w:szCs w:val="20"/>
        </w:rPr>
        <w:t xml:space="preserve"> the 67</w:t>
      </w:r>
      <w:r>
        <w:rPr>
          <w:sz w:val="20"/>
          <w:szCs w:val="20"/>
          <w:vertAlign w:val="superscript"/>
        </w:rPr>
        <w:t>th</w:t>
      </w:r>
      <w:r>
        <w:rPr>
          <w:sz w:val="20"/>
          <w:szCs w:val="20"/>
        </w:rPr>
        <w:t xml:space="preserve"> percentile, which is 7.5%.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C4A27" w14:textId="77777777" w:rsidR="0048192A" w:rsidRDefault="004819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2E39C" w14:textId="6EEC794F" w:rsidR="0020214C" w:rsidRDefault="003F4C7F">
    <w:pPr>
      <w:pBdr>
        <w:top w:val="nil"/>
        <w:left w:val="nil"/>
        <w:bottom w:val="nil"/>
        <w:right w:val="nil"/>
        <w:between w:val="nil"/>
      </w:pBdr>
    </w:pPr>
    <w:r>
      <w:t xml:space="preserve">Revisiting </w:t>
    </w:r>
    <w:proofErr w:type="gramStart"/>
    <w:r>
      <w:t>The</w:t>
    </w:r>
    <w:proofErr w:type="gramEnd"/>
    <w:r>
      <w:t xml:space="preserve"> Renewed Uber Strategy</w:t>
    </w:r>
    <w:r>
      <w:tab/>
      <w:t xml:space="preserve">   </w:t>
    </w:r>
    <w:r>
      <w:tab/>
      <w:t xml:space="preserve"> by </w:t>
    </w:r>
    <w:proofErr w:type="spellStart"/>
    <w:r w:rsidR="0048192A">
      <w:t>Dr.</w:t>
    </w:r>
    <w:proofErr w:type="spellEnd"/>
    <w:r w:rsidR="0048192A">
      <w:t xml:space="preserve"> George </w:t>
    </w:r>
    <w:proofErr w:type="spellStart"/>
    <w:r w:rsidR="0048192A">
      <w:t>Antal</w:t>
    </w:r>
    <w:proofErr w:type="spellEnd"/>
    <w:r>
      <w:t>, 3DClick Ltd.</w:t>
    </w:r>
    <w:r>
      <w:tab/>
    </w:r>
    <w:r>
      <w:tab/>
      <w:t xml:space="preserve">    2019-0</w:t>
    </w:r>
    <w:r w:rsidR="0048192A">
      <w:t>8</w:t>
    </w:r>
    <w:r>
      <w:t>-</w:t>
    </w:r>
    <w:r w:rsidR="0048192A">
      <w:t>01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57EFA" w14:textId="77777777" w:rsidR="0048192A" w:rsidRDefault="004819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95ADA"/>
    <w:multiLevelType w:val="multilevel"/>
    <w:tmpl w:val="69D0E7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7E5CF6"/>
    <w:multiLevelType w:val="multilevel"/>
    <w:tmpl w:val="0C8A8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140393"/>
    <w:multiLevelType w:val="multilevel"/>
    <w:tmpl w:val="B45A7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9474BB"/>
    <w:multiLevelType w:val="multilevel"/>
    <w:tmpl w:val="F94C68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DB7518E"/>
    <w:multiLevelType w:val="multilevel"/>
    <w:tmpl w:val="D4A0B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E0177CA"/>
    <w:multiLevelType w:val="multilevel"/>
    <w:tmpl w:val="96E8C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93068D"/>
    <w:multiLevelType w:val="multilevel"/>
    <w:tmpl w:val="FE7C7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0656037"/>
    <w:multiLevelType w:val="multilevel"/>
    <w:tmpl w:val="D6CE4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3993D68"/>
    <w:multiLevelType w:val="multilevel"/>
    <w:tmpl w:val="246A3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3"/>
  </w:num>
  <w:num w:numId="3">
    <w:abstractNumId w:val="4"/>
  </w:num>
  <w:num w:numId="4">
    <w:abstractNumId w:val="5"/>
  </w:num>
  <w:num w:numId="5">
    <w:abstractNumId w:val="0"/>
  </w:num>
  <w:num w:numId="6">
    <w:abstractNumId w:val="8"/>
  </w:num>
  <w:num w:numId="7">
    <w:abstractNumId w:val="7"/>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14C"/>
    <w:rsid w:val="0020214C"/>
    <w:rsid w:val="003F4C7F"/>
    <w:rsid w:val="004819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E9ABD"/>
  <w15:docId w15:val="{7EA5D34F-9B73-44FC-ACA2-406790FE2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unhideWhenUsed/>
    <w:qFormat/>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uiPriority w:val="9"/>
    <w:semiHidden/>
    <w:unhideWhenUsed/>
    <w:qFormat/>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paragraph" w:styleId="Header">
    <w:name w:val="header"/>
    <w:basedOn w:val="Normal"/>
    <w:link w:val="HeaderChar"/>
    <w:uiPriority w:val="99"/>
    <w:unhideWhenUsed/>
    <w:rsid w:val="0048192A"/>
    <w:pPr>
      <w:tabs>
        <w:tab w:val="center" w:pos="4513"/>
        <w:tab w:val="right" w:pos="9026"/>
      </w:tabs>
      <w:spacing w:line="240" w:lineRule="auto"/>
    </w:pPr>
  </w:style>
  <w:style w:type="character" w:customStyle="1" w:styleId="HeaderChar">
    <w:name w:val="Header Char"/>
    <w:basedOn w:val="DefaultParagraphFont"/>
    <w:link w:val="Header"/>
    <w:uiPriority w:val="99"/>
    <w:rsid w:val="0048192A"/>
  </w:style>
  <w:style w:type="paragraph" w:styleId="Footer">
    <w:name w:val="footer"/>
    <w:basedOn w:val="Normal"/>
    <w:link w:val="FooterChar"/>
    <w:uiPriority w:val="99"/>
    <w:unhideWhenUsed/>
    <w:rsid w:val="0048192A"/>
    <w:pPr>
      <w:tabs>
        <w:tab w:val="center" w:pos="4513"/>
        <w:tab w:val="right" w:pos="9026"/>
      </w:tabs>
      <w:spacing w:line="240" w:lineRule="auto"/>
    </w:pPr>
  </w:style>
  <w:style w:type="character" w:customStyle="1" w:styleId="FooterChar">
    <w:name w:val="Footer Char"/>
    <w:basedOn w:val="DefaultParagraphFont"/>
    <w:link w:val="Footer"/>
    <w:uiPriority w:val="99"/>
    <w:rsid w:val="004819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finance.yahoo.com/quote/UPRO?p=UPRO" TargetMode="External"/><Relationship Id="rId18" Type="http://schemas.openxmlformats.org/officeDocument/2006/relationships/hyperlink" Target="https://finance.yahoo.com/quote/UWT?p=UWT" TargetMode="External"/><Relationship Id="rId26" Type="http://schemas.openxmlformats.org/officeDocument/2006/relationships/hyperlink" Target="https://docs.google.com/document/d/1hCCNu29QRUsSNhyXrvil1rCY8_CF6O6h1hIQVVLVz3I/edit?ts=5b1ba5e1" TargetMode="External"/><Relationship Id="rId39" Type="http://schemas.openxmlformats.org/officeDocument/2006/relationships/image" Target="media/image15.png"/><Relationship Id="rId21" Type="http://schemas.openxmlformats.org/officeDocument/2006/relationships/image" Target="media/image2.png"/><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image" Target="media/image41.png"/><Relationship Id="rId76" Type="http://schemas.openxmlformats.org/officeDocument/2006/relationships/image" Target="media/image49.png"/><Relationship Id="rId84" Type="http://schemas.openxmlformats.org/officeDocument/2006/relationships/header" Target="header2.xml"/><Relationship Id="rId89" Type="http://schemas.openxmlformats.org/officeDocument/2006/relationships/fontTable" Target="fontTable.xml"/><Relationship Id="rId7" Type="http://schemas.openxmlformats.org/officeDocument/2006/relationships/hyperlink" Target="https://docs.google.com/document/d/1qoP6FP0kIeNqwOTVgxkKCETXXOOnsZQxdb10vdn9ibo" TargetMode="External"/><Relationship Id="rId71" Type="http://schemas.openxmlformats.org/officeDocument/2006/relationships/image" Target="media/image44.png"/><Relationship Id="rId2" Type="http://schemas.openxmlformats.org/officeDocument/2006/relationships/styles" Target="styles.xml"/><Relationship Id="rId16" Type="http://schemas.openxmlformats.org/officeDocument/2006/relationships/hyperlink" Target="https://finance.yahoo.com/quote/TMV?p=TMV" TargetMode="External"/><Relationship Id="rId29" Type="http://schemas.openxmlformats.org/officeDocument/2006/relationships/image" Target="media/image5.png"/><Relationship Id="rId11" Type="http://schemas.openxmlformats.org/officeDocument/2006/relationships/hyperlink" Target="https://finance.yahoo.com/quote/VXX?p=VXX" TargetMode="External"/><Relationship Id="rId24" Type="http://schemas.openxmlformats.org/officeDocument/2006/relationships/hyperlink" Target="https://docs.google.com/document/d/1hCCNu29QRUsSNhyXrvil1rCY8_CF6O6h1hIQVVLVz3I/edit?usp=sharing"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hyperlink" Target="https://docs.google.com/document/d/1hCCNu29QRUsSNhyXrvil1rCY8_CF6O6h1hIQVVLVz3I/edit" TargetMode="External"/><Relationship Id="rId58" Type="http://schemas.openxmlformats.org/officeDocument/2006/relationships/image" Target="media/image32.png"/><Relationship Id="rId66" Type="http://schemas.openxmlformats.org/officeDocument/2006/relationships/image" Target="media/image40.png"/><Relationship Id="rId74" Type="http://schemas.openxmlformats.org/officeDocument/2006/relationships/image" Target="media/image47.png"/><Relationship Id="rId79" Type="http://schemas.openxmlformats.org/officeDocument/2006/relationships/image" Target="media/image52.png"/><Relationship Id="rId87"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image" Target="media/image35.png"/><Relationship Id="rId82" Type="http://schemas.openxmlformats.org/officeDocument/2006/relationships/image" Target="media/image180.png"/><Relationship Id="rId90" Type="http://schemas.openxmlformats.org/officeDocument/2006/relationships/theme" Target="theme/theme1.xml"/><Relationship Id="rId19" Type="http://schemas.openxmlformats.org/officeDocument/2006/relationships/hyperlink" Target="https://finance.yahoo.com/quote/UGLD?p=UGLD"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finance.yahoo.com/quote/TQQQ?p=TQQQ" TargetMode="External"/><Relationship Id="rId22" Type="http://schemas.openxmlformats.org/officeDocument/2006/relationships/image" Target="media/image3.png"/><Relationship Id="rId27" Type="http://schemas.openxmlformats.org/officeDocument/2006/relationships/hyperlink" Target="https://docs.google.com/spreadsheets/d/1QjGsXw6YxPT0He5kE4YJ5o52ZCnX7cLA5N-V3Ng1juA"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2.png"/><Relationship Id="rId77" Type="http://schemas.openxmlformats.org/officeDocument/2006/relationships/image" Target="media/image50.png"/><Relationship Id="rId8" Type="http://schemas.openxmlformats.org/officeDocument/2006/relationships/hyperlink" Target="https://docs.google.com/document/d/1hCCNu29QRUsSNhyXrvil1rCY8_CF6O6h1hIQVVLVz3I/edit?usp=sharing" TargetMode="External"/><Relationship Id="rId51" Type="http://schemas.openxmlformats.org/officeDocument/2006/relationships/image" Target="media/image26.png"/><Relationship Id="rId72" Type="http://schemas.openxmlformats.org/officeDocument/2006/relationships/image" Target="media/image45.png"/><Relationship Id="rId80" Type="http://schemas.openxmlformats.org/officeDocument/2006/relationships/image" Target="media/image53.png"/><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finance.yahoo.com/quote/ZIV?p=ZIV" TargetMode="External"/><Relationship Id="rId17" Type="http://schemas.openxmlformats.org/officeDocument/2006/relationships/hyperlink" Target="https://finance.yahoo.com/quote/UGAZ?p=UGAZ" TargetMode="External"/><Relationship Id="rId25" Type="http://schemas.openxmlformats.org/officeDocument/2006/relationships/hyperlink" Target="https://docs.google.com/document/d/1hCCNu29QRUsSNhyXrvil1rCY8_CF6O6h1hIQVVLVz3I"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s://docs.google.com/document/d/1hCCNu29QRUsSNhyXrvil1rCY8_CF6O6h1hIQVVLVz3I/edit" TargetMode="External"/><Relationship Id="rId59" Type="http://schemas.openxmlformats.org/officeDocument/2006/relationships/image" Target="media/image33.png"/><Relationship Id="rId67" Type="http://schemas.openxmlformats.org/officeDocument/2006/relationships/hyperlink" Target="https://docs.google.com/document/d/1q2nSfQUos93q4-dd0ILjTrlvtiQKnwlsg3zN1_0_lyI/edit" TargetMode="External"/><Relationship Id="rId20" Type="http://schemas.openxmlformats.org/officeDocument/2006/relationships/hyperlink" Target="https://docs.google.com/document/d/1hCCNu29QRUsSNhyXrvil1rCY8_CF6O6h1hIQVVLVz3I/edit" TargetMode="External"/><Relationship Id="rId41" Type="http://schemas.openxmlformats.org/officeDocument/2006/relationships/image" Target="media/image17.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header" Target="header1.xml"/><Relationship Id="rId88"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finance.yahoo.com/quote/FAS?p=FAS" TargetMode="External"/><Relationship Id="rId23" Type="http://schemas.openxmlformats.org/officeDocument/2006/relationships/hyperlink" Target="https://docs.google.com/document/d/1meFtRXMcawdIvjdZ6AVeSjAj5r3jgH_tRSJ3bEmzLtw/edit?usp=sharing"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4.png"/><Relationship Id="rId57" Type="http://schemas.openxmlformats.org/officeDocument/2006/relationships/image" Target="media/image31.png"/><Relationship Id="rId10" Type="http://schemas.openxmlformats.org/officeDocument/2006/relationships/hyperlink" Target="https://finance.yahoo.com/quote/SVXY?p=SVXY" TargetMode="Externa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7.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39</Pages>
  <Words>5805</Words>
  <Characters>33089</Characters>
  <Application>Microsoft Office Word</Application>
  <DocSecurity>0</DocSecurity>
  <Lines>275</Lines>
  <Paragraphs>77</Paragraphs>
  <ScaleCrop>false</ScaleCrop>
  <Company/>
  <LinksUpToDate>false</LinksUpToDate>
  <CharactersWithSpaces>38817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gyantal</cp:lastModifiedBy>
  <cp:revision>2</cp:revision>
  <dcterms:created xsi:type="dcterms:W3CDTF">2020-09-09T10:57:00Z</dcterms:created>
  <dcterms:modified xsi:type="dcterms:W3CDTF">2020-09-09T10:58:00Z</dcterms:modified>
</cp:coreProperties>
</file>