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741390" w14:textId="77777777" w:rsidR="00090DAE" w:rsidRDefault="00090DAE">
      <w:pPr>
        <w:pStyle w:val="Title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</w:rPr>
      </w:pPr>
      <w:bookmarkStart w:id="0" w:name="_8yoo0fekv7wm" w:colFirst="0" w:colLast="0"/>
      <w:bookmarkEnd w:id="0"/>
    </w:p>
    <w:p w14:paraId="05014B8B" w14:textId="77777777" w:rsidR="00090DAE" w:rsidRDefault="00090DAE" w:rsidP="00090DAE">
      <w:pPr>
        <w:jc w:val="center"/>
      </w:pPr>
      <w:proofErr w:type="spellStart"/>
      <w:r>
        <w:t>Dr.</w:t>
      </w:r>
      <w:proofErr w:type="spellEnd"/>
      <w:r>
        <w:t xml:space="preserve"> George </w:t>
      </w:r>
      <w:proofErr w:type="spellStart"/>
      <w:r>
        <w:t>Antal</w:t>
      </w:r>
      <w:proofErr w:type="spellEnd"/>
    </w:p>
    <w:p w14:paraId="1DBBD80F" w14:textId="77777777" w:rsidR="00090DAE" w:rsidRDefault="00090DAE" w:rsidP="00090DAE">
      <w:pPr>
        <w:jc w:val="center"/>
      </w:pPr>
      <w:r>
        <w:t>3D Click Limited</w:t>
      </w:r>
    </w:p>
    <w:p w14:paraId="2EA181E7" w14:textId="0E8FBF1E" w:rsidR="00090DAE" w:rsidRDefault="00090DAE" w:rsidP="00090DAE">
      <w:pPr>
        <w:jc w:val="center"/>
      </w:pPr>
      <w:r>
        <w:t>c/o Suite 431, 28 Old Brompton Road, London SW7 3SS</w:t>
      </w:r>
    </w:p>
    <w:p w14:paraId="3BA39C31" w14:textId="77777777" w:rsidR="00090DAE" w:rsidRPr="00090DAE" w:rsidRDefault="00090DAE" w:rsidP="00090DAE"/>
    <w:p w14:paraId="25924813" w14:textId="0C1F7A3F" w:rsidR="001E7B59" w:rsidRDefault="001B31B0">
      <w:pPr>
        <w:pStyle w:val="Title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</w:rPr>
      </w:pPr>
      <w:r>
        <w:rPr>
          <w:b/>
          <w:color w:val="0000FF"/>
        </w:rPr>
        <w:t>Simple technical bear market avoidance strategy</w:t>
      </w:r>
    </w:p>
    <w:p w14:paraId="77E3CA1B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</w:pPr>
    </w:p>
    <w:p w14:paraId="78CD5967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rPr>
          <w:color w:val="1155CC"/>
          <w:u w:val="single"/>
        </w:rPr>
      </w:pPr>
    </w:p>
    <w:sdt>
      <w:sdtPr>
        <w:id w:val="-1669018173"/>
        <w:docPartObj>
          <w:docPartGallery w:val="Table of Contents"/>
          <w:docPartUnique/>
        </w:docPartObj>
      </w:sdtPr>
      <w:sdtEndPr/>
      <w:sdtContent>
        <w:p w14:paraId="78EBBE53" w14:textId="77777777" w:rsidR="001E7B59" w:rsidRDefault="001B31B0">
          <w:pPr>
            <w:tabs>
              <w:tab w:val="right" w:pos="11106"/>
            </w:tabs>
            <w:spacing w:before="80" w:line="240" w:lineRule="auto"/>
            <w:rPr>
              <w:b/>
              <w:color w:val="1155CC"/>
              <w:u w:val="single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k67dnfp78rwk">
            <w:r>
              <w:rPr>
                <w:b/>
                <w:color w:val="1155CC"/>
                <w:u w:val="single"/>
              </w:rPr>
              <w:t>Motivation</w:t>
            </w:r>
          </w:hyperlink>
          <w:r>
            <w:rPr>
              <w:b/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_k67dnfp78rwk \h </w:instrText>
          </w:r>
          <w:r>
            <w:fldChar w:fldCharType="separate"/>
          </w:r>
          <w:r>
            <w:rPr>
              <w:b/>
              <w:color w:val="1155CC"/>
              <w:u w:val="single"/>
            </w:rPr>
            <w:t>1</w:t>
          </w:r>
          <w:r>
            <w:fldChar w:fldCharType="end"/>
          </w:r>
        </w:p>
        <w:p w14:paraId="06F16460" w14:textId="77777777" w:rsidR="001E7B59" w:rsidRDefault="001B31B0">
          <w:pPr>
            <w:tabs>
              <w:tab w:val="right" w:pos="11106"/>
            </w:tabs>
            <w:spacing w:before="200" w:line="240" w:lineRule="auto"/>
            <w:rPr>
              <w:b/>
              <w:color w:val="1155CC"/>
              <w:u w:val="single"/>
            </w:rPr>
          </w:pPr>
          <w:hyperlink w:anchor="_a5ehrzv95kel">
            <w:r>
              <w:rPr>
                <w:b/>
                <w:color w:val="1155CC"/>
                <w:u w:val="single"/>
              </w:rPr>
              <w:t>Used data</w:t>
            </w:r>
          </w:hyperlink>
          <w:r>
            <w:rPr>
              <w:b/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_a5ehrzv95kel \h </w:instrText>
          </w:r>
          <w:r>
            <w:fldChar w:fldCharType="separate"/>
          </w:r>
          <w:r>
            <w:rPr>
              <w:b/>
              <w:color w:val="1155CC"/>
              <w:u w:val="single"/>
            </w:rPr>
            <w:t>1</w:t>
          </w:r>
          <w:r>
            <w:fldChar w:fldCharType="end"/>
          </w:r>
        </w:p>
        <w:p w14:paraId="75A471D7" w14:textId="77777777" w:rsidR="001E7B59" w:rsidRDefault="001B31B0">
          <w:pPr>
            <w:tabs>
              <w:tab w:val="right" w:pos="11106"/>
            </w:tabs>
            <w:spacing w:before="200" w:line="240" w:lineRule="auto"/>
            <w:rPr>
              <w:b/>
              <w:color w:val="1155CC"/>
              <w:u w:val="single"/>
            </w:rPr>
          </w:pPr>
          <w:hyperlink w:anchor="_plh275vnsums">
            <w:r>
              <w:rPr>
                <w:b/>
                <w:color w:val="1155CC"/>
                <w:u w:val="single"/>
              </w:rPr>
              <w:t>Background</w:t>
            </w:r>
          </w:hyperlink>
          <w:r>
            <w:rPr>
              <w:b/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</w:instrText>
          </w:r>
          <w:r>
            <w:instrText xml:space="preserve">AGEREF _plh275vnsums \h </w:instrText>
          </w:r>
          <w:r>
            <w:fldChar w:fldCharType="separate"/>
          </w:r>
          <w:r>
            <w:rPr>
              <w:b/>
              <w:color w:val="1155CC"/>
              <w:u w:val="single"/>
            </w:rPr>
            <w:t>3</w:t>
          </w:r>
          <w:r>
            <w:fldChar w:fldCharType="end"/>
          </w:r>
        </w:p>
        <w:p w14:paraId="40B0436F" w14:textId="77777777" w:rsidR="001E7B59" w:rsidRDefault="001B31B0">
          <w:pPr>
            <w:tabs>
              <w:tab w:val="right" w:pos="11106"/>
            </w:tabs>
            <w:spacing w:before="200" w:line="240" w:lineRule="auto"/>
            <w:rPr>
              <w:b/>
              <w:color w:val="1155CC"/>
              <w:u w:val="single"/>
            </w:rPr>
          </w:pPr>
          <w:hyperlink w:anchor="_sbt5s7s8figc">
            <w:r>
              <w:rPr>
                <w:b/>
                <w:color w:val="1155CC"/>
                <w:u w:val="single"/>
              </w:rPr>
              <w:t>Our Current Results</w:t>
            </w:r>
          </w:hyperlink>
          <w:r>
            <w:rPr>
              <w:b/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_sbt5s7s8figc \h </w:instrText>
          </w:r>
          <w:r>
            <w:fldChar w:fldCharType="separate"/>
          </w:r>
          <w:r>
            <w:rPr>
              <w:b/>
              <w:color w:val="1155CC"/>
              <w:u w:val="single"/>
            </w:rPr>
            <w:t>7</w:t>
          </w:r>
          <w:r>
            <w:fldChar w:fldCharType="end"/>
          </w:r>
        </w:p>
        <w:p w14:paraId="4517DCC1" w14:textId="77777777" w:rsidR="001E7B59" w:rsidRDefault="001B31B0">
          <w:pPr>
            <w:tabs>
              <w:tab w:val="right" w:pos="11106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jd4ouhyu6dy5">
            <w:r>
              <w:rPr>
                <w:color w:val="1155CC"/>
                <w:u w:val="single"/>
              </w:rPr>
              <w:t>Reconciliation of study’s results</w:t>
            </w:r>
          </w:hyperlink>
          <w:r>
            <w:rPr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_jd4ouhyu6dy5 \h </w:instrText>
          </w:r>
          <w:r>
            <w:fldChar w:fldCharType="separate"/>
          </w:r>
          <w:r>
            <w:rPr>
              <w:color w:val="1155CC"/>
              <w:u w:val="single"/>
            </w:rPr>
            <w:t>7</w:t>
          </w:r>
          <w:r>
            <w:fldChar w:fldCharType="end"/>
          </w:r>
        </w:p>
        <w:p w14:paraId="3F7CB360" w14:textId="77777777" w:rsidR="001E7B59" w:rsidRDefault="001B31B0">
          <w:pPr>
            <w:tabs>
              <w:tab w:val="right" w:pos="11106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ad8992uq1auu">
            <w:r>
              <w:rPr>
                <w:color w:val="1155CC"/>
                <w:u w:val="single"/>
              </w:rPr>
              <w:t>Analysis of SMA10</w:t>
            </w:r>
          </w:hyperlink>
          <w:r>
            <w:rPr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_ad8992uq1auu \h </w:instrText>
          </w:r>
          <w:r>
            <w:fldChar w:fldCharType="separate"/>
          </w:r>
          <w:r>
            <w:rPr>
              <w:color w:val="1155CC"/>
              <w:u w:val="single"/>
            </w:rPr>
            <w:t>14</w:t>
          </w:r>
          <w:r>
            <w:fldChar w:fldCharType="end"/>
          </w:r>
        </w:p>
        <w:p w14:paraId="2DFA4CDB" w14:textId="77777777" w:rsidR="001E7B59" w:rsidRDefault="001B31B0">
          <w:pPr>
            <w:tabs>
              <w:tab w:val="right" w:pos="11106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w1tvu4qpt4ah">
            <w:r>
              <w:rPr>
                <w:color w:val="1155CC"/>
                <w:u w:val="single"/>
              </w:rPr>
              <w:t>Using</w:t>
            </w:r>
            <w:r>
              <w:rPr>
                <w:color w:val="1155CC"/>
                <w:u w:val="single"/>
              </w:rPr>
              <w:t xml:space="preserve"> EMA instead of SMA</w:t>
            </w:r>
          </w:hyperlink>
          <w:r>
            <w:rPr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_w1tvu4qpt4ah \h </w:instrText>
          </w:r>
          <w:r>
            <w:fldChar w:fldCharType="separate"/>
          </w:r>
          <w:r>
            <w:rPr>
              <w:color w:val="1155CC"/>
              <w:u w:val="single"/>
            </w:rPr>
            <w:t>17</w:t>
          </w:r>
          <w:r>
            <w:fldChar w:fldCharType="end"/>
          </w:r>
        </w:p>
        <w:p w14:paraId="7663455F" w14:textId="77777777" w:rsidR="001E7B59" w:rsidRDefault="001B31B0">
          <w:pPr>
            <w:tabs>
              <w:tab w:val="right" w:pos="11106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krrwt52bi89b">
            <w:r>
              <w:rPr>
                <w:color w:val="1155CC"/>
                <w:u w:val="single"/>
              </w:rPr>
              <w:t>Comparison of SMA and EMA</w:t>
            </w:r>
          </w:hyperlink>
          <w:r>
            <w:rPr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_krrwt52bi89b \h </w:instrText>
          </w:r>
          <w:r>
            <w:fldChar w:fldCharType="separate"/>
          </w:r>
          <w:r>
            <w:rPr>
              <w:color w:val="1155CC"/>
              <w:u w:val="single"/>
            </w:rPr>
            <w:t>19</w:t>
          </w:r>
          <w:r>
            <w:fldChar w:fldCharType="end"/>
          </w:r>
        </w:p>
        <w:p w14:paraId="59694938" w14:textId="77777777" w:rsidR="001E7B59" w:rsidRDefault="001B31B0">
          <w:pPr>
            <w:tabs>
              <w:tab w:val="right" w:pos="11106"/>
            </w:tabs>
            <w:spacing w:before="200" w:after="80" w:line="240" w:lineRule="auto"/>
            <w:rPr>
              <w:b/>
              <w:color w:val="1155CC"/>
              <w:u w:val="single"/>
            </w:rPr>
          </w:pPr>
          <w:hyperlink w:anchor="_kqqkf3nb2dbc">
            <w:r>
              <w:rPr>
                <w:b/>
                <w:color w:val="1155CC"/>
                <w:u w:val="single"/>
              </w:rPr>
              <w:t>Conclusion</w:t>
            </w:r>
          </w:hyperlink>
          <w:r>
            <w:rPr>
              <w:b/>
              <w:color w:val="1155CC"/>
              <w:u w:val="single"/>
            </w:rPr>
            <w:tab/>
          </w:r>
          <w:r>
            <w:fldChar w:fldCharType="begin"/>
          </w:r>
          <w:r>
            <w:instrText xml:space="preserve"> PAGEREF _kqqkf3nb2dbc \h </w:instrText>
          </w:r>
          <w:r>
            <w:fldChar w:fldCharType="separate"/>
          </w:r>
          <w:r>
            <w:rPr>
              <w:b/>
              <w:color w:val="1155CC"/>
              <w:u w:val="single"/>
            </w:rPr>
            <w:t>21</w:t>
          </w:r>
          <w:r>
            <w:fldChar w:fldCharType="end"/>
          </w:r>
          <w:r>
            <w:fldChar w:fldCharType="end"/>
          </w:r>
        </w:p>
      </w:sdtContent>
    </w:sdt>
    <w:p w14:paraId="372ABEFD" w14:textId="77777777" w:rsidR="001E7B59" w:rsidRDefault="001E7B59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38761D"/>
        </w:rPr>
      </w:pPr>
      <w:bookmarkStart w:id="1" w:name="_fd07ijbl9e9x" w:colFirst="0" w:colLast="0"/>
      <w:bookmarkEnd w:id="1"/>
    </w:p>
    <w:p w14:paraId="7DEDBAFC" w14:textId="77777777" w:rsidR="001E7B59" w:rsidRDefault="001E7B59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38761D"/>
        </w:rPr>
      </w:pPr>
      <w:bookmarkStart w:id="2" w:name="_9dt1stv9130v" w:colFirst="0" w:colLast="0"/>
      <w:bookmarkEnd w:id="2"/>
    </w:p>
    <w:p w14:paraId="242B55E7" w14:textId="77777777" w:rsidR="001E7B59" w:rsidRDefault="001B31B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CC0000"/>
        </w:rPr>
      </w:pPr>
      <w:bookmarkStart w:id="3" w:name="_k67dnfp78rwk" w:colFirst="0" w:colLast="0"/>
      <w:bookmarkEnd w:id="3"/>
      <w:r>
        <w:rPr>
          <w:color w:val="38761D"/>
        </w:rPr>
        <w:t xml:space="preserve">Motivation </w:t>
      </w:r>
    </w:p>
    <w:p w14:paraId="2D8B383D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0F95446" w14:textId="77777777" w:rsidR="001E7B59" w:rsidRDefault="001B31B0">
      <w:pPr>
        <w:jc w:val="both"/>
        <w:rPr>
          <w:color w:val="38761D"/>
        </w:rPr>
      </w:pPr>
      <w:r>
        <w:t xml:space="preserve">There is a </w:t>
      </w:r>
      <w:proofErr w:type="spellStart"/>
      <w:r>
        <w:t>Mojena</w:t>
      </w:r>
      <w:proofErr w:type="spellEnd"/>
      <w:r>
        <w:t xml:space="preserve"> market timing model, developed and maintained by professor Richard </w:t>
      </w:r>
      <w:proofErr w:type="spellStart"/>
      <w:r>
        <w:t>Mojena</w:t>
      </w:r>
      <w:proofErr w:type="spellEnd"/>
      <w:r>
        <w:t>. It is a method for timing the broad U.S. stock market based on a combination of many monetary, fundamental, technical and sentiment indicators to predict changes i</w:t>
      </w:r>
      <w:r>
        <w:t xml:space="preserve">n intermediate-term and long-term market trends. In an article at </w:t>
      </w:r>
      <w:hyperlink r:id="rId7">
        <w:r>
          <w:rPr>
            <w:color w:val="1155CC"/>
            <w:u w:val="single"/>
          </w:rPr>
          <w:t>cxoadvisory.com</w:t>
        </w:r>
      </w:hyperlink>
      <w:r>
        <w:t xml:space="preserve"> Steve LeCompte compared the performance of this strategy for the last 25</w:t>
      </w:r>
      <w:r>
        <w:t xml:space="preserve"> years with the result of some simple strategies. In this study we try to reconcile his results and look deeper behind them.</w:t>
      </w:r>
    </w:p>
    <w:p w14:paraId="0822F2A6" w14:textId="77777777" w:rsidR="001E7B59" w:rsidRDefault="001B31B0">
      <w:pPr>
        <w:pStyle w:val="Heading1"/>
        <w:jc w:val="both"/>
      </w:pPr>
      <w:bookmarkStart w:id="4" w:name="_a5ehrzv95kel" w:colFirst="0" w:colLast="0"/>
      <w:bookmarkEnd w:id="4"/>
      <w:r>
        <w:rPr>
          <w:color w:val="38761D"/>
        </w:rPr>
        <w:t>Used data</w:t>
      </w:r>
      <w:r>
        <w:t xml:space="preserve"> </w:t>
      </w:r>
    </w:p>
    <w:p w14:paraId="3FC38F64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C60B4F0" w14:textId="77777777" w:rsidR="001E7B59" w:rsidRDefault="001B31B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For calculating </w:t>
      </w:r>
      <w:proofErr w:type="gramStart"/>
      <w:r>
        <w:t>returns</w:t>
      </w:r>
      <w:proofErr w:type="gramEnd"/>
      <w:r>
        <w:t xml:space="preserve"> I used adjusted daily closing prices from 1993-01-03 until 2019-04-30 (which is 26.33 years) fo</w:t>
      </w:r>
      <w:r>
        <w:t xml:space="preserve">r SPY. For calculating daily yields for 13-week Treasury bills (T-bills) I used closing </w:t>
      </w:r>
      <w:hyperlink r:id="rId8">
        <w:r>
          <w:rPr>
            <w:b/>
            <w:color w:val="1155CC"/>
            <w:u w:val="single"/>
          </w:rPr>
          <w:t>IRX</w:t>
        </w:r>
      </w:hyperlink>
      <w:r>
        <w:rPr>
          <w:b/>
        </w:rPr>
        <w:t xml:space="preserve"> values</w:t>
      </w:r>
      <w:r>
        <w:t xml:space="preserve"> from finance.yahoo.com. However please note that these values </w:t>
      </w:r>
      <w:r>
        <w:rPr>
          <w:b/>
        </w:rPr>
        <w:t>are not prices but y</w:t>
      </w:r>
      <w:r>
        <w:rPr>
          <w:b/>
        </w:rPr>
        <w:t>early interest rates</w:t>
      </w:r>
      <w:r>
        <w:t xml:space="preserve"> and as such match the corresponding data from </w:t>
      </w:r>
      <w:hyperlink r:id="rId9">
        <w:r>
          <w:rPr>
            <w:color w:val="1155CC"/>
            <w:u w:val="single"/>
          </w:rPr>
          <w:t>FRED database</w:t>
        </w:r>
      </w:hyperlink>
      <w:r>
        <w:t xml:space="preserve">. </w:t>
      </w:r>
    </w:p>
    <w:p w14:paraId="350A2B36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2289028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92F2AB1" w14:textId="77777777" w:rsidR="001E7B59" w:rsidRDefault="001B31B0">
      <w:pPr>
        <w:jc w:val="both"/>
      </w:pPr>
      <w:proofErr w:type="gramStart"/>
      <w:r>
        <w:t>So</w:t>
      </w:r>
      <w:proofErr w:type="gramEnd"/>
      <w:r>
        <w:t xml:space="preserve"> for daily yields I used the </w:t>
      </w:r>
    </w:p>
    <w:p w14:paraId="3185B22D" w14:textId="77777777" w:rsidR="001E7B59" w:rsidRDefault="001E7B59">
      <w:pPr>
        <w:ind w:left="4320"/>
        <w:jc w:val="both"/>
      </w:pPr>
    </w:p>
    <w:p w14:paraId="71113512" w14:textId="77777777" w:rsidR="001E7B59" w:rsidRDefault="001B31B0">
      <w:pPr>
        <w:ind w:left="4320"/>
        <w:jc w:val="both"/>
      </w:pPr>
      <w:r>
        <w:t>daily yield for T-bills = closing ^IRX value / (100 x 252)</w:t>
      </w:r>
      <w:r>
        <w:rPr>
          <w:vertAlign w:val="superscript"/>
        </w:rPr>
        <w:footnoteReference w:id="1"/>
      </w:r>
    </w:p>
    <w:p w14:paraId="3C2DF3BE" w14:textId="77777777" w:rsidR="001E7B59" w:rsidRDefault="001E7B59">
      <w:pPr>
        <w:jc w:val="both"/>
      </w:pPr>
    </w:p>
    <w:p w14:paraId="49EC91C5" w14:textId="77777777" w:rsidR="001E7B59" w:rsidRDefault="001B31B0">
      <w:pPr>
        <w:jc w:val="both"/>
      </w:pPr>
      <w:r>
        <w:t>formula.</w:t>
      </w:r>
    </w:p>
    <w:p w14:paraId="13A112ED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55FD834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8F60F04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2AAFB46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18"/>
          <w:szCs w:val="18"/>
        </w:rPr>
      </w:pPr>
    </w:p>
    <w:p w14:paraId="347678B5" w14:textId="77777777" w:rsidR="001E7B59" w:rsidRDefault="001B31B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Chart 1a. ^IRX (13 week treasury bill) closing values at </w:t>
      </w:r>
      <w:hyperlink r:id="rId10">
        <w:r>
          <w:rPr>
            <w:color w:val="1155CC"/>
            <w:sz w:val="18"/>
            <w:szCs w:val="18"/>
            <w:u w:val="single"/>
          </w:rPr>
          <w:t>finance.yahoo.com</w:t>
        </w:r>
      </w:hyperlink>
      <w:r>
        <w:rPr>
          <w:sz w:val="18"/>
          <w:szCs w:val="18"/>
        </w:rPr>
        <w:t>, 2001-01-02-2019-04-01</w:t>
      </w:r>
    </w:p>
    <w:p w14:paraId="40018E26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6B70BD8" w14:textId="77777777" w:rsidR="001E7B59" w:rsidRDefault="001B31B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114300" distB="114300" distL="114300" distR="114300" wp14:anchorId="4DD41BA1" wp14:editId="5D34DEFB">
            <wp:extent cx="7278027" cy="3797662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8027" cy="3797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E0E40" w14:textId="77777777" w:rsidR="001E7B59" w:rsidRDefault="001E7B59">
      <w:pPr>
        <w:jc w:val="center"/>
        <w:rPr>
          <w:sz w:val="18"/>
          <w:szCs w:val="18"/>
        </w:rPr>
      </w:pPr>
    </w:p>
    <w:p w14:paraId="58856A3E" w14:textId="77777777" w:rsidR="001E7B59" w:rsidRDefault="001B31B0">
      <w:pPr>
        <w:jc w:val="center"/>
      </w:pPr>
      <w:r>
        <w:rPr>
          <w:sz w:val="18"/>
          <w:szCs w:val="18"/>
        </w:rPr>
        <w:t xml:space="preserve">Chart 1b. 3-Month treasury bill at </w:t>
      </w:r>
      <w:hyperlink r:id="rId12">
        <w:r>
          <w:rPr>
            <w:color w:val="1155CC"/>
            <w:sz w:val="18"/>
            <w:szCs w:val="18"/>
            <w:u w:val="single"/>
          </w:rPr>
          <w:t>fred.stlouisfed.org</w:t>
        </w:r>
      </w:hyperlink>
      <w:r>
        <w:rPr>
          <w:sz w:val="18"/>
          <w:szCs w:val="18"/>
        </w:rPr>
        <w:t>, 2001-01-03-2019-04-30</w:t>
      </w:r>
    </w:p>
    <w:p w14:paraId="1149A0D2" w14:textId="77777777" w:rsidR="001E7B59" w:rsidRDefault="001E7B5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0AB5907" w14:textId="77777777" w:rsidR="001E7B59" w:rsidRDefault="001B31B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505B27D0" wp14:editId="54132E3A">
            <wp:extent cx="7296791" cy="3673837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791" cy="3673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8338FC" w14:textId="77777777" w:rsidR="001E7B59" w:rsidRDefault="001B31B0">
      <w:pPr>
        <w:jc w:val="both"/>
      </w:pPr>
      <w:r>
        <w:br w:type="page"/>
      </w:r>
    </w:p>
    <w:p w14:paraId="3D2DF46A" w14:textId="77777777" w:rsidR="001E7B59" w:rsidRDefault="001B31B0">
      <w:pPr>
        <w:pStyle w:val="Heading1"/>
        <w:jc w:val="both"/>
        <w:rPr>
          <w:color w:val="38761D"/>
        </w:rPr>
      </w:pPr>
      <w:bookmarkStart w:id="5" w:name="_plh275vnsums" w:colFirst="0" w:colLast="0"/>
      <w:bookmarkEnd w:id="5"/>
      <w:r>
        <w:rPr>
          <w:color w:val="38761D"/>
        </w:rPr>
        <w:lastRenderedPageBreak/>
        <w:t>Background</w:t>
      </w:r>
    </w:p>
    <w:p w14:paraId="27064A52" w14:textId="77777777" w:rsidR="001E7B59" w:rsidRDefault="001E7B59">
      <w:pPr>
        <w:jc w:val="both"/>
      </w:pPr>
    </w:p>
    <w:p w14:paraId="375DEE07" w14:textId="77777777" w:rsidR="001E7B59" w:rsidRDefault="001B31B0">
      <w:pPr>
        <w:jc w:val="both"/>
      </w:pPr>
      <w:r>
        <w:t xml:space="preserve">The </w:t>
      </w:r>
      <w:proofErr w:type="gramStart"/>
      <w:r>
        <w:t>above mentioned</w:t>
      </w:r>
      <w:proofErr w:type="gramEnd"/>
      <w:r>
        <w:t xml:space="preserve"> article says:</w:t>
      </w:r>
    </w:p>
    <w:p w14:paraId="29814BE6" w14:textId="77777777" w:rsidR="001E7B59" w:rsidRDefault="001E7B59">
      <w:pPr>
        <w:jc w:val="both"/>
      </w:pPr>
    </w:p>
    <w:p w14:paraId="604989B9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 xml:space="preserve">“The </w:t>
      </w:r>
      <w:hyperlink r:id="rId14">
        <w:proofErr w:type="spellStart"/>
        <w:r>
          <w:rPr>
            <w:i/>
            <w:color w:val="999999"/>
            <w:u w:val="single"/>
          </w:rPr>
          <w:t>Mojena</w:t>
        </w:r>
        <w:proofErr w:type="spellEnd"/>
        <w:r>
          <w:rPr>
            <w:i/>
            <w:color w:val="999999"/>
            <w:u w:val="single"/>
          </w:rPr>
          <w:t xml:space="preserve"> Market Timing</w:t>
        </w:r>
      </w:hyperlink>
      <w:r>
        <w:rPr>
          <w:i/>
          <w:color w:val="999999"/>
        </w:rPr>
        <w:t xml:space="preserve"> strategy (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), developed and maintained by professor </w:t>
      </w:r>
      <w:hyperlink r:id="rId15">
        <w:r>
          <w:rPr>
            <w:i/>
            <w:color w:val="999999"/>
            <w:u w:val="single"/>
          </w:rPr>
          <w:t xml:space="preserve">Richard </w:t>
        </w:r>
        <w:proofErr w:type="spellStart"/>
        <w:r>
          <w:rPr>
            <w:i/>
            <w:color w:val="999999"/>
            <w:u w:val="single"/>
          </w:rPr>
          <w:t>Mojena</w:t>
        </w:r>
        <w:proofErr w:type="spellEnd"/>
      </w:hyperlink>
      <w:r>
        <w:rPr>
          <w:i/>
          <w:color w:val="999999"/>
        </w:rPr>
        <w:t>, is a method for timing the broad U.S. stock market based on a combination of many monetary, fundamental, technical and sentiment in</w:t>
      </w:r>
      <w:r>
        <w:rPr>
          <w:i/>
          <w:color w:val="999999"/>
        </w:rPr>
        <w:t xml:space="preserve">dicators to predict changes in intermediate-term and long-term market trends. He adjusts the model annually to incorporate new data. Professor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offers a </w:t>
      </w:r>
      <w:hyperlink r:id="rId16">
        <w:r>
          <w:rPr>
            <w:i/>
            <w:color w:val="999999"/>
            <w:u w:val="single"/>
          </w:rPr>
          <w:t xml:space="preserve">hypothetical </w:t>
        </w:r>
        <w:proofErr w:type="spellStart"/>
        <w:r>
          <w:rPr>
            <w:i/>
            <w:color w:val="999999"/>
            <w:u w:val="single"/>
          </w:rPr>
          <w:t>backtest</w:t>
        </w:r>
        <w:proofErr w:type="spellEnd"/>
        <w:r>
          <w:rPr>
            <w:i/>
            <w:color w:val="999999"/>
            <w:u w:val="single"/>
          </w:rPr>
          <w:t xml:space="preserve"> of the timing model sinc</w:t>
        </w:r>
        <w:r>
          <w:rPr>
            <w:i/>
            <w:color w:val="999999"/>
            <w:u w:val="single"/>
          </w:rPr>
          <w:t>e 1970</w:t>
        </w:r>
      </w:hyperlink>
      <w:r>
        <w:rPr>
          <w:i/>
          <w:color w:val="999999"/>
        </w:rPr>
        <w:t xml:space="preserve"> and a </w:t>
      </w:r>
      <w:hyperlink r:id="rId17">
        <w:r>
          <w:rPr>
            <w:i/>
            <w:color w:val="999999"/>
            <w:u w:val="single"/>
          </w:rPr>
          <w:t>live investing test since 1990</w:t>
        </w:r>
      </w:hyperlink>
      <w:r>
        <w:rPr>
          <w:i/>
          <w:color w:val="999999"/>
        </w:rPr>
        <w:t xml:space="preserve"> based on the S&amp;P 500 Index (with dividends). To test the robustness of the strategy’s performance, we consider a sample period commencing with inception of SPDR S</w:t>
      </w:r>
      <w:r>
        <w:rPr>
          <w:i/>
          <w:color w:val="999999"/>
        </w:rPr>
        <w:t xml:space="preserve">&amp;P 500 (SPY) as a liquid, low-cost proxy for the S&amp;P 500 Index. As benchmarks, we consider both buying and holding SPY (Buy-and-Hold) and trading SPY with crash protection based on the 10-month simple moving average of the S&amp;P 500 Index (SMA10). Using the </w:t>
      </w:r>
      <w:r>
        <w:rPr>
          <w:i/>
          <w:color w:val="999999"/>
        </w:rPr>
        <w:t xml:space="preserve">trade dates from the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Market Timing live test, daily dividend-adjusted closes for </w:t>
      </w:r>
      <w:hyperlink r:id="rId18">
        <w:r>
          <w:rPr>
            <w:i/>
            <w:color w:val="999999"/>
            <w:u w:val="single"/>
          </w:rPr>
          <w:t>SPY</w:t>
        </w:r>
      </w:hyperlink>
      <w:r>
        <w:rPr>
          <w:i/>
          <w:color w:val="999999"/>
        </w:rPr>
        <w:t xml:space="preserve"> and daily yields for </w:t>
      </w:r>
      <w:hyperlink r:id="rId19">
        <w:r>
          <w:rPr>
            <w:i/>
            <w:color w:val="999999"/>
            <w:u w:val="single"/>
          </w:rPr>
          <w:t>13-week Treasury bills</w:t>
        </w:r>
      </w:hyperlink>
      <w:r>
        <w:rPr>
          <w:i/>
          <w:color w:val="999999"/>
        </w:rPr>
        <w:t>(T-bills</w:t>
      </w:r>
      <w:r>
        <w:rPr>
          <w:i/>
          <w:color w:val="999999"/>
        </w:rPr>
        <w:t>) from the end of January 1993 through August 2018 (over 25 years), we find that:</w:t>
      </w:r>
    </w:p>
    <w:p w14:paraId="00356FE1" w14:textId="77777777" w:rsidR="001E7B59" w:rsidRDefault="001B31B0">
      <w:pPr>
        <w:shd w:val="clear" w:color="auto" w:fill="FFFFFF"/>
        <w:spacing w:before="300" w:after="300" w:line="240" w:lineRule="auto"/>
        <w:jc w:val="both"/>
        <w:rPr>
          <w:i/>
          <w:color w:val="999999"/>
        </w:rPr>
      </w:pPr>
      <w:r>
        <w:rPr>
          <w:i/>
          <w:color w:val="999999"/>
        </w:rPr>
        <w:t>Analyses assume the following:</w:t>
      </w:r>
    </w:p>
    <w:p w14:paraId="1D11ACE8" w14:textId="77777777" w:rsidR="001E7B59" w:rsidRDefault="001B31B0">
      <w:pPr>
        <w:numPr>
          <w:ilvl w:val="0"/>
          <w:numId w:val="2"/>
        </w:numPr>
        <w:spacing w:before="660"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Initial investment size is $10,000.</w:t>
      </w:r>
    </w:p>
    <w:p w14:paraId="4A231387" w14:textId="77777777" w:rsidR="001E7B59" w:rsidRDefault="001B31B0">
      <w:pPr>
        <w:numPr>
          <w:ilvl w:val="0"/>
          <w:numId w:val="2"/>
        </w:numPr>
        <w:spacing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Use of dividend-adjusted values of SPY implies reinvestment of dividends.</w:t>
      </w:r>
    </w:p>
    <w:p w14:paraId="3EB102B3" w14:textId="77777777" w:rsidR="001E7B59" w:rsidRDefault="001B31B0">
      <w:pPr>
        <w:numPr>
          <w:ilvl w:val="0"/>
          <w:numId w:val="2"/>
        </w:numPr>
        <w:spacing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 xml:space="preserve">For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>, trade between SPY and</w:t>
      </w:r>
      <w:r>
        <w:rPr>
          <w:i/>
          <w:color w:val="999999"/>
        </w:rPr>
        <w:t xml:space="preserve"> cash at the close on the first trading day after the dates (Sundays) specified. Trading at the open is a feasible alternative.</w:t>
      </w:r>
    </w:p>
    <w:p w14:paraId="27C17302" w14:textId="77777777" w:rsidR="001E7B59" w:rsidRDefault="001B31B0">
      <w:pPr>
        <w:numPr>
          <w:ilvl w:val="0"/>
          <w:numId w:val="2"/>
        </w:numPr>
        <w:spacing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For SMA10, hold SPY (cash) when the S&amp;P 500 Index is above (below) its SMA10 at the end of the prior month. There is slight anti</w:t>
      </w:r>
      <w:r>
        <w:rPr>
          <w:i/>
          <w:color w:val="999999"/>
        </w:rPr>
        <w:t>cipation of signals to trade at the same monthly close.</w:t>
      </w:r>
    </w:p>
    <w:p w14:paraId="4365CF5F" w14:textId="77777777" w:rsidR="001E7B59" w:rsidRDefault="001B31B0">
      <w:pPr>
        <w:numPr>
          <w:ilvl w:val="0"/>
          <w:numId w:val="2"/>
        </w:numPr>
        <w:spacing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Return on cash is the T-bill yield.</w:t>
      </w:r>
    </w:p>
    <w:p w14:paraId="33D13978" w14:textId="77777777" w:rsidR="001E7B59" w:rsidRDefault="001B31B0">
      <w:pPr>
        <w:numPr>
          <w:ilvl w:val="0"/>
          <w:numId w:val="2"/>
        </w:numPr>
        <w:spacing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One-way switching frictions are 0.1% of the balance for all switches (but zero for reinvestment of dividends).</w:t>
      </w:r>
    </w:p>
    <w:p w14:paraId="7C966EC8" w14:textId="77777777" w:rsidR="001E7B59" w:rsidRDefault="001B31B0">
      <w:pPr>
        <w:numPr>
          <w:ilvl w:val="0"/>
          <w:numId w:val="2"/>
        </w:numPr>
        <w:spacing w:after="660"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Ignore tax implications of trading.</w:t>
      </w:r>
    </w:p>
    <w:p w14:paraId="3224E5B8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>The following cha</w:t>
      </w:r>
      <w:r>
        <w:rPr>
          <w:i/>
          <w:color w:val="999999"/>
        </w:rPr>
        <w:t xml:space="preserve">rt compares on a logarithmic scale net cumulative values of $10,000 initial investments for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, Buy-and-Hold and SMA10 over the full sample period.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largely tracks Buy-and-Hold. SMA10 mostly outperforms both. Quantitatively:</w:t>
      </w:r>
    </w:p>
    <w:p w14:paraId="4C8D8F72" w14:textId="77777777" w:rsidR="001E7B59" w:rsidRDefault="001B31B0">
      <w:pPr>
        <w:numPr>
          <w:ilvl w:val="0"/>
          <w:numId w:val="3"/>
        </w:numPr>
        <w:spacing w:before="660"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 xml:space="preserve">Net </w:t>
      </w:r>
      <w:hyperlink r:id="rId20">
        <w:r>
          <w:rPr>
            <w:i/>
            <w:color w:val="999999"/>
            <w:u w:val="single"/>
          </w:rPr>
          <w:t>compound annual growth rates</w:t>
        </w:r>
      </w:hyperlink>
      <w:r>
        <w:rPr>
          <w:i/>
          <w:color w:val="999999"/>
        </w:rPr>
        <w:t xml:space="preserve"> (CAGR) for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>, Buy-and-Hold and SMA10 are 9.0%, 9.7% and 11.2%, respectively.</w:t>
      </w:r>
    </w:p>
    <w:p w14:paraId="6DC4ECD1" w14:textId="77777777" w:rsidR="001E7B59" w:rsidRDefault="001B31B0">
      <w:pPr>
        <w:numPr>
          <w:ilvl w:val="0"/>
          <w:numId w:val="3"/>
        </w:numPr>
        <w:spacing w:line="335" w:lineRule="auto"/>
        <w:ind w:left="1180"/>
        <w:jc w:val="both"/>
        <w:rPr>
          <w:i/>
          <w:color w:val="999999"/>
        </w:rPr>
      </w:pPr>
      <w:hyperlink r:id="rId21">
        <w:r>
          <w:rPr>
            <w:i/>
            <w:color w:val="999999"/>
            <w:u w:val="single"/>
          </w:rPr>
          <w:t>Maximum drawdowns</w:t>
        </w:r>
      </w:hyperlink>
      <w:r>
        <w:rPr>
          <w:i/>
          <w:color w:val="999999"/>
        </w:rPr>
        <w:t xml:space="preserve"> (</w:t>
      </w:r>
      <w:proofErr w:type="spellStart"/>
      <w:r>
        <w:rPr>
          <w:i/>
          <w:color w:val="999999"/>
        </w:rPr>
        <w:t>MaxDD</w:t>
      </w:r>
      <w:proofErr w:type="spellEnd"/>
      <w:r>
        <w:rPr>
          <w:i/>
          <w:color w:val="999999"/>
        </w:rPr>
        <w:t>) based on daily data are -42%, -55% and -19%, respectively.</w:t>
      </w:r>
    </w:p>
    <w:p w14:paraId="36BDF70D" w14:textId="77777777" w:rsidR="001E7B59" w:rsidRDefault="001B31B0">
      <w:pPr>
        <w:numPr>
          <w:ilvl w:val="0"/>
          <w:numId w:val="3"/>
        </w:numPr>
        <w:spacing w:after="660" w:line="335" w:lineRule="auto"/>
        <w:ind w:left="1180"/>
        <w:jc w:val="both"/>
        <w:rPr>
          <w:i/>
          <w:color w:val="999999"/>
        </w:rPr>
      </w:pP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generates 47 switches, compared to 25 for SMA10, so the former is more sensitive to the assumpti</w:t>
      </w:r>
      <w:r>
        <w:rPr>
          <w:i/>
          <w:color w:val="999999"/>
        </w:rPr>
        <w:t>on about switching frictions.</w:t>
      </w:r>
    </w:p>
    <w:p w14:paraId="30BB8192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>For another perspective, we look at returns by calendar year.</w:t>
      </w:r>
    </w:p>
    <w:p w14:paraId="24667B55" w14:textId="77777777" w:rsidR="001E7B59" w:rsidRDefault="001B31B0">
      <w:pPr>
        <w:shd w:val="clear" w:color="auto" w:fill="FFFFFF"/>
        <w:spacing w:before="300" w:after="300" w:line="360" w:lineRule="auto"/>
        <w:jc w:val="center"/>
        <w:rPr>
          <w:i/>
          <w:color w:val="999999"/>
        </w:rPr>
      </w:pPr>
      <w:r>
        <w:rPr>
          <w:i/>
          <w:noProof/>
          <w:color w:val="999999"/>
        </w:rPr>
        <w:drawing>
          <wp:inline distT="114300" distB="114300" distL="114300" distR="114300" wp14:anchorId="7EE154D6" wp14:editId="258099EB">
            <wp:extent cx="6205498" cy="4131037"/>
            <wp:effectExtent l="38100" t="38100" r="38100" b="3810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498" cy="4131037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9635B0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 xml:space="preserve">The next chart compares net calendar year returns for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>, Buy-and-Hold and SMA10 during 1993 (partial) through 2018 (partial). Average net annual returns thro</w:t>
      </w:r>
      <w:r>
        <w:rPr>
          <w:i/>
          <w:color w:val="999999"/>
        </w:rPr>
        <w:t xml:space="preserve">ugh 2017 are 9.9%, 11.1% and 11.6%, respectively, with standard deviations 12.7%, 17.8% and 12.1%. Using the average daily T-bill yield during a year as the risk-free rate for that year, net annual </w:t>
      </w:r>
      <w:hyperlink r:id="rId23">
        <w:r>
          <w:rPr>
            <w:i/>
            <w:color w:val="999999"/>
            <w:u w:val="single"/>
          </w:rPr>
          <w:t>Sharpe ratios</w:t>
        </w:r>
      </w:hyperlink>
      <w:r>
        <w:rPr>
          <w:i/>
          <w:color w:val="999999"/>
        </w:rPr>
        <w:t xml:space="preserve"> are 0.59, 0.49 and 0.76, respectively.</w:t>
      </w:r>
    </w:p>
    <w:p w14:paraId="3F965131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beats Buy-and-Hold (SMA10) for five (eight) of 24 years. </w:t>
      </w:r>
      <w:proofErr w:type="spellStart"/>
      <w:r>
        <w:rPr>
          <w:i/>
          <w:color w:val="999999"/>
        </w:rPr>
        <w:t>Mojena’s</w:t>
      </w:r>
      <w:proofErr w:type="spellEnd"/>
      <w:r>
        <w:rPr>
          <w:i/>
          <w:color w:val="999999"/>
        </w:rPr>
        <w:t xml:space="preserve"> best year relative to Buy-and-Hold is 2008.</w:t>
      </w:r>
    </w:p>
    <w:p w14:paraId="04B59DBF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br w:type="page"/>
      </w:r>
    </w:p>
    <w:p w14:paraId="46714CCD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lastRenderedPageBreak/>
        <w:t xml:space="preserve">For additional insight, we compare performances of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and SMA10 relative to Buy-and-Hold.</w:t>
      </w:r>
    </w:p>
    <w:p w14:paraId="039C38F5" w14:textId="77777777" w:rsidR="001E7B59" w:rsidRDefault="001B31B0">
      <w:pPr>
        <w:shd w:val="clear" w:color="auto" w:fill="FFFFFF"/>
        <w:spacing w:before="300" w:after="300" w:line="360" w:lineRule="auto"/>
        <w:jc w:val="center"/>
        <w:rPr>
          <w:i/>
          <w:color w:val="999999"/>
        </w:rPr>
      </w:pPr>
      <w:r>
        <w:rPr>
          <w:i/>
          <w:noProof/>
          <w:color w:val="999999"/>
        </w:rPr>
        <w:drawing>
          <wp:inline distT="114300" distB="114300" distL="114300" distR="114300" wp14:anchorId="519D8FBB" wp14:editId="249FDE17">
            <wp:extent cx="5115342" cy="3416663"/>
            <wp:effectExtent l="38100" t="38100" r="38100" b="3810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342" cy="3416663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41B25F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 xml:space="preserve">The final chart compares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and SMA10 annual returns minus those of SPY. The chart shows that both timing strategies tend to outperform Buy-and-Hold during </w:t>
      </w:r>
      <w:r>
        <w:rPr>
          <w:i/>
          <w:color w:val="999999"/>
        </w:rPr>
        <w:t>equity bear markets and underperform during bull markets. Their overall performances therefore depend on the mix of bull and bear states in the sample. Neither timing strategy has beaten Buy-and-Hold since 2008.</w:t>
      </w:r>
    </w:p>
    <w:p w14:paraId="4264B629" w14:textId="77777777" w:rsidR="001E7B59" w:rsidRDefault="001B31B0">
      <w:pPr>
        <w:shd w:val="clear" w:color="auto" w:fill="FFFFFF"/>
        <w:spacing w:before="300" w:after="300" w:line="360" w:lineRule="auto"/>
        <w:jc w:val="center"/>
        <w:rPr>
          <w:i/>
          <w:color w:val="999999"/>
        </w:rPr>
      </w:pPr>
      <w:r>
        <w:rPr>
          <w:i/>
          <w:noProof/>
          <w:color w:val="999999"/>
        </w:rPr>
        <w:drawing>
          <wp:inline distT="114300" distB="114300" distL="114300" distR="114300" wp14:anchorId="2417D413" wp14:editId="412FADD3">
            <wp:extent cx="5238750" cy="3489365"/>
            <wp:effectExtent l="38100" t="38100" r="38100" b="381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89365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AD1FF5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lastRenderedPageBreak/>
        <w:t>The following table summarizes performance</w:t>
      </w:r>
      <w:r>
        <w:rPr>
          <w:i/>
          <w:color w:val="999999"/>
        </w:rPr>
        <w:t xml:space="preserve"> statistics mentioned above.</w:t>
      </w:r>
    </w:p>
    <w:p w14:paraId="08AFC469" w14:textId="77777777" w:rsidR="001E7B59" w:rsidRDefault="001B31B0">
      <w:pPr>
        <w:shd w:val="clear" w:color="auto" w:fill="FFFFFF"/>
        <w:spacing w:before="300" w:after="300" w:line="360" w:lineRule="auto"/>
        <w:jc w:val="center"/>
        <w:rPr>
          <w:i/>
          <w:color w:val="999999"/>
        </w:rPr>
      </w:pPr>
      <w:r>
        <w:rPr>
          <w:i/>
          <w:noProof/>
          <w:color w:val="999999"/>
        </w:rPr>
        <w:drawing>
          <wp:inline distT="114300" distB="114300" distL="114300" distR="114300" wp14:anchorId="5D2C5815" wp14:editId="093C1511">
            <wp:extent cx="4786313" cy="1356122"/>
            <wp:effectExtent l="38100" t="38100" r="38100" b="3810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1356122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0EB1C8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 xml:space="preserve">In summary, evidence from simple tests over a 25+-year sample period suggests that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Market Timing modestly outperforms buy-and-hold on a risk-adjusted basis, but substantially underperforms a simple and widely used tech</w:t>
      </w:r>
      <w:r>
        <w:rPr>
          <w:i/>
          <w:color w:val="999999"/>
        </w:rPr>
        <w:t>nical bear market avoidance strategy.</w:t>
      </w:r>
    </w:p>
    <w:p w14:paraId="00C723FF" w14:textId="77777777" w:rsidR="001E7B59" w:rsidRDefault="001B31B0">
      <w:pPr>
        <w:shd w:val="clear" w:color="auto" w:fill="FFFFFF"/>
        <w:spacing w:before="300" w:after="300" w:line="360" w:lineRule="auto"/>
        <w:jc w:val="both"/>
        <w:rPr>
          <w:i/>
          <w:color w:val="999999"/>
        </w:rPr>
      </w:pPr>
      <w:r>
        <w:rPr>
          <w:i/>
          <w:color w:val="999999"/>
        </w:rPr>
        <w:t>Cautions regarding findings include:</w:t>
      </w:r>
    </w:p>
    <w:p w14:paraId="72BC950C" w14:textId="77777777" w:rsidR="001E7B59" w:rsidRDefault="001B31B0">
      <w:pPr>
        <w:numPr>
          <w:ilvl w:val="0"/>
          <w:numId w:val="1"/>
        </w:numPr>
        <w:spacing w:before="660"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>The sample period is not long in terms of number of bull and bear markets.</w:t>
      </w:r>
    </w:p>
    <w:p w14:paraId="47AEDC08" w14:textId="77777777" w:rsidR="001E7B59" w:rsidRDefault="001B31B0">
      <w:pPr>
        <w:numPr>
          <w:ilvl w:val="0"/>
          <w:numId w:val="1"/>
        </w:numPr>
        <w:spacing w:after="660" w:line="335" w:lineRule="auto"/>
        <w:ind w:left="1180"/>
        <w:jc w:val="both"/>
        <w:rPr>
          <w:i/>
          <w:color w:val="999999"/>
        </w:rPr>
      </w:pPr>
      <w:r>
        <w:rPr>
          <w:i/>
          <w:color w:val="999999"/>
        </w:rPr>
        <w:t xml:space="preserve">As noted, </w:t>
      </w:r>
      <w:proofErr w:type="spellStart"/>
      <w:r>
        <w:rPr>
          <w:i/>
          <w:color w:val="999999"/>
        </w:rPr>
        <w:t>Mojena</w:t>
      </w:r>
      <w:proofErr w:type="spellEnd"/>
      <w:r>
        <w:rPr>
          <w:i/>
          <w:color w:val="999999"/>
        </w:rPr>
        <w:t xml:space="preserve"> outperforms Buy-and-Hold during only five of 24 calendar years, most strongly by avoidanc</w:t>
      </w:r>
      <w:r>
        <w:rPr>
          <w:i/>
          <w:color w:val="999999"/>
        </w:rPr>
        <w:t>e of part of the market loss in 2008.”</w:t>
      </w:r>
    </w:p>
    <w:p w14:paraId="1A3BE8DD" w14:textId="77777777" w:rsidR="001E7B59" w:rsidRDefault="001E7B59">
      <w:pPr>
        <w:rPr>
          <w:color w:val="999999"/>
        </w:rPr>
      </w:pPr>
    </w:p>
    <w:p w14:paraId="0761247B" w14:textId="77777777" w:rsidR="001E7B59" w:rsidRDefault="001B31B0">
      <w:pPr>
        <w:pStyle w:val="Heading1"/>
        <w:jc w:val="both"/>
        <w:rPr>
          <w:color w:val="38761D"/>
        </w:rPr>
      </w:pPr>
      <w:bookmarkStart w:id="6" w:name="_hgo24ondjpxt" w:colFirst="0" w:colLast="0"/>
      <w:bookmarkEnd w:id="6"/>
      <w:r>
        <w:br w:type="page"/>
      </w:r>
    </w:p>
    <w:p w14:paraId="34C12D05" w14:textId="77777777" w:rsidR="001E7B59" w:rsidRDefault="001B31B0">
      <w:pPr>
        <w:pStyle w:val="Heading1"/>
        <w:jc w:val="both"/>
        <w:rPr>
          <w:highlight w:val="white"/>
        </w:rPr>
      </w:pPr>
      <w:bookmarkStart w:id="7" w:name="_sbt5s7s8figc" w:colFirst="0" w:colLast="0"/>
      <w:bookmarkEnd w:id="7"/>
      <w:r>
        <w:rPr>
          <w:color w:val="38761D"/>
        </w:rPr>
        <w:lastRenderedPageBreak/>
        <w:t>Our Current Results</w:t>
      </w:r>
    </w:p>
    <w:p w14:paraId="71E8E457" w14:textId="77777777" w:rsidR="001E7B59" w:rsidRDefault="001B31B0">
      <w:pPr>
        <w:pStyle w:val="Heading2"/>
        <w:jc w:val="both"/>
        <w:rPr>
          <w:color w:val="CC0000"/>
        </w:rPr>
      </w:pPr>
      <w:bookmarkStart w:id="8" w:name="_jd4ouhyu6dy5" w:colFirst="0" w:colLast="0"/>
      <w:bookmarkEnd w:id="8"/>
      <w:r>
        <w:rPr>
          <w:color w:val="CC0000"/>
        </w:rPr>
        <w:t>Reconciliation of study’s results</w:t>
      </w:r>
    </w:p>
    <w:p w14:paraId="0E8CE168" w14:textId="77777777" w:rsidR="001E7B59" w:rsidRDefault="001E7B59"/>
    <w:p w14:paraId="4DB019BD" w14:textId="77777777" w:rsidR="001E7B59" w:rsidRDefault="001B31B0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First of </w:t>
      </w:r>
      <w:proofErr w:type="gramStart"/>
      <w:r>
        <w:rPr>
          <w:color w:val="222222"/>
          <w:highlight w:val="white"/>
        </w:rPr>
        <w:t>all</w:t>
      </w:r>
      <w:proofErr w:type="gramEnd"/>
      <w:r>
        <w:rPr>
          <w:color w:val="222222"/>
          <w:highlight w:val="white"/>
        </w:rPr>
        <w:t xml:space="preserve"> I tried to rebuild the first chart from the </w:t>
      </w:r>
      <w:r>
        <w:rPr>
          <w:color w:val="D9D9D9"/>
          <w:highlight w:val="white"/>
        </w:rPr>
        <w:t>above article</w:t>
      </w:r>
      <w:r>
        <w:rPr>
          <w:color w:val="222222"/>
          <w:highlight w:val="white"/>
        </w:rPr>
        <w:t>.</w:t>
      </w:r>
    </w:p>
    <w:p w14:paraId="77D84205" w14:textId="77777777" w:rsidR="001E7B59" w:rsidRDefault="001B31B0">
      <w:pPr>
        <w:shd w:val="clear" w:color="auto" w:fill="FFFFFF"/>
        <w:spacing w:before="300" w:after="300" w:line="360" w:lineRule="auto"/>
        <w:jc w:val="right"/>
        <w:rPr>
          <w:i/>
          <w:color w:val="999999"/>
        </w:rPr>
      </w:pPr>
      <w:r>
        <w:rPr>
          <w:i/>
          <w:noProof/>
          <w:color w:val="999999"/>
        </w:rPr>
        <w:drawing>
          <wp:inline distT="114300" distB="114300" distL="114300" distR="114300" wp14:anchorId="6100F52E" wp14:editId="7CCAD4E7">
            <wp:extent cx="3298463" cy="2186516"/>
            <wp:effectExtent l="38100" t="38100" r="38100" b="38100"/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>
                      <a:alphaModFix amt="3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463" cy="2186516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69BC44" w14:textId="77777777" w:rsidR="001E7B59" w:rsidRDefault="001B31B0">
      <w:pPr>
        <w:jc w:val="center"/>
      </w:pPr>
      <w:r>
        <w:rPr>
          <w:sz w:val="16"/>
          <w:szCs w:val="16"/>
        </w:rPr>
        <w:t>Chart 2. Net cumulative values of $1 initial investments for different SPY and ^IRX related strategies, 1993-01-01 - 2018-08-31, logarithmic scale</w:t>
      </w:r>
      <w:r>
        <w:rPr>
          <w:color w:val="222222"/>
          <w:highlight w:val="white"/>
        </w:rPr>
        <w:t xml:space="preserve"> </w:t>
      </w:r>
      <w:r>
        <w:rPr>
          <w:noProof/>
        </w:rPr>
        <w:drawing>
          <wp:inline distT="114300" distB="114300" distL="114300" distR="114300" wp14:anchorId="0C56910A" wp14:editId="7006EE7E">
            <wp:extent cx="6905625" cy="5013541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5013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685FAE" w14:textId="77777777" w:rsidR="001E7B59" w:rsidRDefault="001E7B59">
      <w:pPr>
        <w:jc w:val="both"/>
      </w:pPr>
    </w:p>
    <w:p w14:paraId="342B9464" w14:textId="77777777" w:rsidR="001E7B59" w:rsidRDefault="001E7B59">
      <w:pPr>
        <w:jc w:val="both"/>
      </w:pPr>
    </w:p>
    <w:p w14:paraId="06E895AD" w14:textId="77777777" w:rsidR="001E7B59" w:rsidRDefault="001B31B0">
      <w:pPr>
        <w:jc w:val="both"/>
      </w:pPr>
      <w:r>
        <w:t xml:space="preserve">Although in my calculation I didn’t use switching friction cost at all - basically I think I succeed. </w:t>
      </w:r>
      <w:proofErr w:type="gramStart"/>
      <w:r>
        <w:t>How</w:t>
      </w:r>
      <w:r>
        <w:t>ever</w:t>
      </w:r>
      <w:proofErr w:type="gramEnd"/>
      <w:r>
        <w:t xml:space="preserve"> </w:t>
      </w:r>
      <w:proofErr w:type="spellStart"/>
      <w:r>
        <w:t>Mojena</w:t>
      </w:r>
      <w:proofErr w:type="spellEnd"/>
      <w:r>
        <w:t xml:space="preserve"> curve is higher in my reconciliation from 2008 than in the article. The reason behind it is that </w:t>
      </w:r>
      <w:r>
        <w:rPr>
          <w:b/>
        </w:rPr>
        <w:t xml:space="preserve">my </w:t>
      </w:r>
      <w:proofErr w:type="spellStart"/>
      <w:r>
        <w:rPr>
          <w:b/>
        </w:rPr>
        <w:t>backtest</w:t>
      </w:r>
      <w:proofErr w:type="spellEnd"/>
      <w:r>
        <w:rPr>
          <w:b/>
        </w:rPr>
        <w:t xml:space="preserve"> didn’t suffer such a significant loss in October 2008</w:t>
      </w:r>
      <w:r>
        <w:t xml:space="preserve">. </w:t>
      </w:r>
    </w:p>
    <w:p w14:paraId="23C2BD0E" w14:textId="77777777" w:rsidR="001E7B59" w:rsidRDefault="001E7B59">
      <w:pPr>
        <w:jc w:val="both"/>
      </w:pPr>
    </w:p>
    <w:p w14:paraId="00DB8633" w14:textId="77777777" w:rsidR="001E7B59" w:rsidRDefault="001B31B0">
      <w:pPr>
        <w:jc w:val="both"/>
      </w:pPr>
      <w:r>
        <w:t xml:space="preserve">Professor </w:t>
      </w:r>
      <w:proofErr w:type="spellStart"/>
      <w:r>
        <w:t>Mojena</w:t>
      </w:r>
      <w:proofErr w:type="spellEnd"/>
      <w:r>
        <w:t xml:space="preserve"> provided 2 sets of Buy/Sell signals (both only until the end </w:t>
      </w:r>
      <w:r>
        <w:t xml:space="preserve">of 2018): a (back)tested and a live one. The above (and all my later) calculation was </w:t>
      </w:r>
      <w:r>
        <w:rPr>
          <w:b/>
        </w:rPr>
        <w:t>based on the live signal-set</w:t>
      </w:r>
      <w:r>
        <w:t>. In the next two charts we can compare the two different sets:</w:t>
      </w:r>
    </w:p>
    <w:p w14:paraId="00B80A47" w14:textId="77777777" w:rsidR="001E7B59" w:rsidRDefault="001B31B0">
      <w:pPr>
        <w:jc w:val="center"/>
      </w:pPr>
      <w:r>
        <w:rPr>
          <w:sz w:val="18"/>
          <w:szCs w:val="18"/>
        </w:rPr>
        <w:t xml:space="preserve">Chart 3. </w:t>
      </w:r>
      <w:proofErr w:type="spellStart"/>
      <w:r>
        <w:rPr>
          <w:sz w:val="18"/>
          <w:szCs w:val="18"/>
        </w:rPr>
        <w:t>Mojena</w:t>
      </w:r>
      <w:proofErr w:type="spellEnd"/>
      <w:r>
        <w:rPr>
          <w:sz w:val="18"/>
          <w:szCs w:val="18"/>
        </w:rPr>
        <w:t xml:space="preserve"> Market Timing signals, 1993-01-01 - 2018-12-31</w:t>
      </w:r>
      <w:r>
        <w:rPr>
          <w:color w:val="222222"/>
          <w:highlight w:val="white"/>
        </w:rPr>
        <w:t xml:space="preserve"> </w:t>
      </w:r>
    </w:p>
    <w:p w14:paraId="2F6EFEAB" w14:textId="77777777" w:rsidR="001E7B59" w:rsidRDefault="001B31B0">
      <w:pPr>
        <w:jc w:val="both"/>
      </w:pPr>
      <w:r>
        <w:rPr>
          <w:noProof/>
        </w:rPr>
        <w:drawing>
          <wp:inline distT="114300" distB="114300" distL="114300" distR="114300" wp14:anchorId="54F84B03" wp14:editId="54629A04">
            <wp:extent cx="7052400" cy="51181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C9FED" w14:textId="77777777" w:rsidR="001E7B59" w:rsidRDefault="001B31B0">
      <w:pPr>
        <w:jc w:val="center"/>
        <w:rPr>
          <w:sz w:val="18"/>
          <w:szCs w:val="18"/>
        </w:rPr>
      </w:pPr>
      <w:r>
        <w:br w:type="page"/>
      </w:r>
    </w:p>
    <w:p w14:paraId="5B002252" w14:textId="77777777" w:rsidR="001E7B59" w:rsidRDefault="001B31B0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Chart 4. Net cumulative values of $1 initial investments for different SPY and ^IRX related strategies, 1993-01-01 - 2018-08-31, </w:t>
      </w:r>
    </w:p>
    <w:p w14:paraId="2F31966E" w14:textId="77777777" w:rsidR="001E7B59" w:rsidRDefault="001B31B0">
      <w:pPr>
        <w:jc w:val="center"/>
      </w:pPr>
      <w:r>
        <w:rPr>
          <w:sz w:val="18"/>
          <w:szCs w:val="18"/>
        </w:rPr>
        <w:t>logarithmic scale</w:t>
      </w:r>
      <w:r>
        <w:rPr>
          <w:color w:val="222222"/>
          <w:highlight w:val="white"/>
        </w:rPr>
        <w:t xml:space="preserve"> </w:t>
      </w:r>
    </w:p>
    <w:p w14:paraId="1C64D05B" w14:textId="77777777" w:rsidR="001E7B59" w:rsidRDefault="001B31B0">
      <w:pPr>
        <w:jc w:val="both"/>
      </w:pPr>
      <w:r>
        <w:rPr>
          <w:noProof/>
        </w:rPr>
        <w:drawing>
          <wp:inline distT="114300" distB="114300" distL="114300" distR="114300" wp14:anchorId="65BB62D1" wp14:editId="60CAE42F">
            <wp:extent cx="7052400" cy="51181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9F717" w14:textId="77777777" w:rsidR="001E7B59" w:rsidRDefault="001E7B59">
      <w:pPr>
        <w:jc w:val="both"/>
      </w:pPr>
    </w:p>
    <w:p w14:paraId="47A92ADC" w14:textId="77777777" w:rsidR="001E7B59" w:rsidRDefault="001B31B0">
      <w:pPr>
        <w:jc w:val="both"/>
      </w:pPr>
      <w:r>
        <w:t>We can see that neither during the b</w:t>
      </w:r>
      <w:r>
        <w:t>ear market of 2001 nor during 2008 the tested signal was at Buy but Sell (and therefore with this signal we can get a much higher overall result). But what is really important regarding our calculation is that real signal changed from Sell to Buy at mid-Oc</w:t>
      </w:r>
      <w:r>
        <w:t xml:space="preserve">tober 2008. In my reconciliation I shifted this only one signal there and back by 1-2-3 weeks but still was not able to get such a big drawdown at the end of 2008 as it can be seen in the related chart of the original article. </w:t>
      </w:r>
      <w:proofErr w:type="gramStart"/>
      <w:r>
        <w:t>So</w:t>
      </w:r>
      <w:proofErr w:type="gramEnd"/>
      <w:r>
        <w:t xml:space="preserve"> I cannot explain the diffe</w:t>
      </w:r>
      <w:r>
        <w:t>rence at that point - but all the other periods were reconciled very closely.</w:t>
      </w:r>
    </w:p>
    <w:p w14:paraId="3FDE1D47" w14:textId="77777777" w:rsidR="001E7B59" w:rsidRDefault="001E7B59">
      <w:pPr>
        <w:jc w:val="both"/>
      </w:pPr>
    </w:p>
    <w:p w14:paraId="47160116" w14:textId="77777777" w:rsidR="001E7B59" w:rsidRDefault="001B31B0">
      <w:pPr>
        <w:jc w:val="both"/>
      </w:pPr>
      <w:r>
        <w:br w:type="page"/>
      </w:r>
    </w:p>
    <w:p w14:paraId="32349018" w14:textId="77777777" w:rsidR="001E7B59" w:rsidRDefault="001B31B0">
      <w:pPr>
        <w:jc w:val="both"/>
      </w:pPr>
      <w:r>
        <w:lastRenderedPageBreak/>
        <w:t>Comparison of net annual return charts also strengthen this basically successful reconciliation:</w:t>
      </w:r>
    </w:p>
    <w:p w14:paraId="2588C029" w14:textId="77777777" w:rsidR="001E7B59" w:rsidRDefault="001B31B0">
      <w:pPr>
        <w:shd w:val="clear" w:color="auto" w:fill="FFFFFF"/>
        <w:spacing w:before="300" w:after="300" w:line="360" w:lineRule="auto"/>
        <w:jc w:val="right"/>
        <w:rPr>
          <w:i/>
          <w:color w:val="999999"/>
        </w:rPr>
      </w:pPr>
      <w:r>
        <w:rPr>
          <w:i/>
          <w:noProof/>
          <w:color w:val="999999"/>
        </w:rPr>
        <w:drawing>
          <wp:inline distT="114300" distB="114300" distL="114300" distR="114300" wp14:anchorId="62A0CD5E" wp14:editId="4DF37760">
            <wp:extent cx="3688988" cy="2468301"/>
            <wp:effectExtent l="38100" t="38100" r="38100" b="3810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988" cy="2468301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40BDC3" w14:textId="77777777" w:rsidR="001E7B59" w:rsidRDefault="001B31B0">
      <w:pPr>
        <w:jc w:val="center"/>
      </w:pPr>
      <w:r>
        <w:rPr>
          <w:sz w:val="18"/>
          <w:szCs w:val="18"/>
        </w:rPr>
        <w:t>Chart 5. Net annual returns for different SPY and ^IRX related strategies, 1993 - 2018</w:t>
      </w:r>
    </w:p>
    <w:p w14:paraId="70BCA5A6" w14:textId="77777777" w:rsidR="001E7B59" w:rsidRDefault="001B31B0">
      <w:pPr>
        <w:shd w:val="clear" w:color="auto" w:fill="FFFFFF"/>
        <w:spacing w:before="300" w:after="300" w:line="360" w:lineRule="auto"/>
        <w:jc w:val="right"/>
      </w:pPr>
      <w:r>
        <w:rPr>
          <w:noProof/>
        </w:rPr>
        <w:drawing>
          <wp:inline distT="114300" distB="114300" distL="114300" distR="114300" wp14:anchorId="10376AC1" wp14:editId="39072F87">
            <wp:extent cx="6871910" cy="498828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1910" cy="498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BB9E8" w14:textId="77777777" w:rsidR="001E7B59" w:rsidRDefault="001B31B0">
      <w:pPr>
        <w:jc w:val="both"/>
      </w:pPr>
      <w:r>
        <w:lastRenderedPageBreak/>
        <w:t xml:space="preserve">We have some differences at </w:t>
      </w:r>
      <w:proofErr w:type="spellStart"/>
      <w:r>
        <w:t>Mojena</w:t>
      </w:r>
      <w:proofErr w:type="spellEnd"/>
      <w:r>
        <w:t xml:space="preserve"> (live) annual return in 1996 (23.8% vs ~17%), in 1998 (29% vs ~35%), in 1999 (18.5% vs ~12%), in 2000 (-10.1% vs ~-5%), in 2003 (11.</w:t>
      </w:r>
      <w:r>
        <w:t xml:space="preserve">3% vs ~18%), in 2008 (-11.8% vs ~-18%), in 2009 (39.1% vs ~27%), in 2014 (15.9% vs ~10%) and 2015 (-6.5% vs ~-1%) - maybe the most interesting ones are the above mentioned 2008-2009 years. At the same time </w:t>
      </w:r>
      <w:r>
        <w:rPr>
          <w:b/>
        </w:rPr>
        <w:t>Buy and Hold and SMA10 values are in line with the</w:t>
      </w:r>
      <w:r>
        <w:rPr>
          <w:b/>
        </w:rPr>
        <w:t xml:space="preserve"> ones in the original chart and all in all </w:t>
      </w:r>
      <w:proofErr w:type="spellStart"/>
      <w:r>
        <w:rPr>
          <w:b/>
        </w:rPr>
        <w:t>Mojena</w:t>
      </w:r>
      <w:proofErr w:type="spellEnd"/>
      <w:r>
        <w:rPr>
          <w:b/>
        </w:rPr>
        <w:t xml:space="preserve"> values also follow the same pattern</w:t>
      </w:r>
      <w:r>
        <w:t>.</w:t>
      </w:r>
    </w:p>
    <w:p w14:paraId="7887C2A2" w14:textId="77777777" w:rsidR="001E7B59" w:rsidRDefault="001B31B0">
      <w:pPr>
        <w:jc w:val="both"/>
      </w:pPr>
      <w:r>
        <w:t xml:space="preserve">For 25 years </w:t>
      </w:r>
      <w:proofErr w:type="spellStart"/>
      <w:r>
        <w:t>Mojena</w:t>
      </w:r>
      <w:proofErr w:type="spellEnd"/>
      <w:r>
        <w:t xml:space="preserve"> performs slightly above Buy-and-Hold (it was slightly under in the original article) and outperform that 12 times in 25 years (instead of only 5) - f</w:t>
      </w:r>
      <w:r>
        <w:t>rom which 10 times the advantage is at least 1.0% annual return. But still both of them are under the performance of SMA10.</w:t>
      </w:r>
    </w:p>
    <w:p w14:paraId="0B42BA64" w14:textId="77777777" w:rsidR="001E7B59" w:rsidRDefault="001E7B59">
      <w:pPr>
        <w:jc w:val="both"/>
      </w:pPr>
    </w:p>
    <w:p w14:paraId="19F5336C" w14:textId="77777777" w:rsidR="001E7B59" w:rsidRDefault="001B31B0">
      <w:pPr>
        <w:jc w:val="both"/>
      </w:pPr>
      <w:r>
        <w:t>Now let’s see the main performance indicators in details (all of them were calculated on daily basis):</w:t>
      </w:r>
    </w:p>
    <w:p w14:paraId="6EC26656" w14:textId="77777777" w:rsidR="001E7B59" w:rsidRDefault="001E7B59">
      <w:pPr>
        <w:jc w:val="center"/>
        <w:rPr>
          <w:sz w:val="18"/>
          <w:szCs w:val="18"/>
        </w:rPr>
      </w:pPr>
    </w:p>
    <w:p w14:paraId="32DCE29C" w14:textId="77777777" w:rsidR="001E7B59" w:rsidRDefault="001B31B0">
      <w:pPr>
        <w:jc w:val="center"/>
      </w:pPr>
      <w:bookmarkStart w:id="9" w:name="y1vhqcqx5j1d" w:colFirst="0" w:colLast="0"/>
      <w:bookmarkEnd w:id="9"/>
      <w:r>
        <w:rPr>
          <w:sz w:val="18"/>
          <w:szCs w:val="18"/>
        </w:rPr>
        <w:t>Table 6. Performance indica</w:t>
      </w:r>
      <w:r>
        <w:rPr>
          <w:sz w:val="18"/>
          <w:szCs w:val="18"/>
        </w:rPr>
        <w:t>tors for SMA10 strategy (with SPY and ^IRX), 1993 - 2018</w:t>
      </w:r>
    </w:p>
    <w:p w14:paraId="5EEE4DC4" w14:textId="77777777" w:rsidR="001E7B59" w:rsidRDefault="001E7B59">
      <w:pPr>
        <w:jc w:val="both"/>
      </w:pPr>
    </w:p>
    <w:p w14:paraId="772A42E6" w14:textId="77777777" w:rsidR="001E7B59" w:rsidRDefault="001B31B0">
      <w:pPr>
        <w:jc w:val="center"/>
      </w:pPr>
      <w:r>
        <w:rPr>
          <w:noProof/>
        </w:rPr>
        <w:drawing>
          <wp:inline distT="114300" distB="114300" distL="114300" distR="114300" wp14:anchorId="63B71779" wp14:editId="020C571A">
            <wp:extent cx="4210050" cy="5343525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34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56492" w14:textId="77777777" w:rsidR="001E7B59" w:rsidRDefault="001B31B0">
      <w:pPr>
        <w:jc w:val="center"/>
        <w:rPr>
          <w:sz w:val="18"/>
          <w:szCs w:val="18"/>
        </w:rPr>
      </w:pPr>
      <w:r>
        <w:br w:type="page"/>
      </w:r>
    </w:p>
    <w:p w14:paraId="060007FD" w14:textId="77777777" w:rsidR="001E7B59" w:rsidRDefault="001B31B0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7. Performance indicators for Buy-and-Hold strategy (with SPY), 1993 - 2018</w:t>
      </w:r>
    </w:p>
    <w:p w14:paraId="4A3F2B4F" w14:textId="77777777" w:rsidR="001E7B59" w:rsidRDefault="001E7B59">
      <w:pPr>
        <w:jc w:val="center"/>
        <w:rPr>
          <w:sz w:val="18"/>
          <w:szCs w:val="18"/>
        </w:rPr>
      </w:pPr>
    </w:p>
    <w:p w14:paraId="746D4A97" w14:textId="77777777" w:rsidR="001E7B59" w:rsidRDefault="001B31B0">
      <w:pPr>
        <w:jc w:val="center"/>
      </w:pPr>
      <w:r>
        <w:rPr>
          <w:noProof/>
        </w:rPr>
        <w:drawing>
          <wp:inline distT="114300" distB="114300" distL="114300" distR="114300" wp14:anchorId="2E762144" wp14:editId="04E6F69D">
            <wp:extent cx="4219575" cy="554355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54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37B58" w14:textId="77777777" w:rsidR="001E7B59" w:rsidRDefault="001B31B0">
      <w:pPr>
        <w:jc w:val="center"/>
        <w:rPr>
          <w:sz w:val="18"/>
          <w:szCs w:val="18"/>
        </w:rPr>
      </w:pPr>
      <w:r>
        <w:br w:type="page"/>
      </w:r>
    </w:p>
    <w:p w14:paraId="0F2F9572" w14:textId="77777777" w:rsidR="001E7B59" w:rsidRDefault="001B31B0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Table 8. Performance indicators for </w:t>
      </w:r>
      <w:proofErr w:type="spellStart"/>
      <w:r>
        <w:rPr>
          <w:sz w:val="18"/>
          <w:szCs w:val="18"/>
        </w:rPr>
        <w:t>Mojena</w:t>
      </w:r>
      <w:proofErr w:type="spellEnd"/>
      <w:r>
        <w:rPr>
          <w:sz w:val="18"/>
          <w:szCs w:val="18"/>
        </w:rPr>
        <w:t xml:space="preserve"> Live strategy (with SPY and ^IRX), 1993 - 2018</w:t>
      </w:r>
    </w:p>
    <w:p w14:paraId="2F84EBEA" w14:textId="77777777" w:rsidR="001E7B59" w:rsidRDefault="001E7B59">
      <w:pPr>
        <w:jc w:val="center"/>
        <w:rPr>
          <w:sz w:val="18"/>
          <w:szCs w:val="18"/>
        </w:rPr>
      </w:pPr>
    </w:p>
    <w:p w14:paraId="195B3E03" w14:textId="77777777" w:rsidR="001E7B59" w:rsidRDefault="001B31B0">
      <w:pPr>
        <w:jc w:val="center"/>
      </w:pPr>
      <w:r>
        <w:rPr>
          <w:noProof/>
        </w:rPr>
        <w:drawing>
          <wp:inline distT="114300" distB="114300" distL="114300" distR="114300" wp14:anchorId="2B8FA566" wp14:editId="40C91505">
            <wp:extent cx="4219575" cy="535305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35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6AFF0" w14:textId="77777777" w:rsidR="001E7B59" w:rsidRDefault="001E7B59">
      <w:pPr>
        <w:jc w:val="both"/>
      </w:pPr>
    </w:p>
    <w:p w14:paraId="6A786287" w14:textId="77777777" w:rsidR="001E7B59" w:rsidRDefault="001E7B59">
      <w:pPr>
        <w:jc w:val="both"/>
      </w:pPr>
    </w:p>
    <w:p w14:paraId="2768B4CE" w14:textId="77777777" w:rsidR="001E7B59" w:rsidRDefault="001B31B0">
      <w:pPr>
        <w:jc w:val="both"/>
      </w:pPr>
      <w:r>
        <w:t>In accordanc</w:t>
      </w:r>
      <w:r>
        <w:t xml:space="preserve">e with the above charts (and the original study) </w:t>
      </w:r>
      <w:r>
        <w:rPr>
          <w:b/>
        </w:rPr>
        <w:t>SMA10 was the only strategy that successfully avoid the huge drawdowns</w:t>
      </w:r>
      <w:r>
        <w:t xml:space="preserve"> (actually even the negative result) </w:t>
      </w:r>
      <w:r>
        <w:rPr>
          <w:b/>
        </w:rPr>
        <w:t>during the bear markets of 2001 and 2008</w:t>
      </w:r>
      <w:r>
        <w:t xml:space="preserve"> - and as such this one had the lowest overall MDD (20.7%).</w:t>
      </w:r>
    </w:p>
    <w:p w14:paraId="76ECFB8E" w14:textId="77777777" w:rsidR="001E7B59" w:rsidRDefault="001E7B59">
      <w:pPr>
        <w:jc w:val="both"/>
      </w:pPr>
    </w:p>
    <w:p w14:paraId="7C7B63AE" w14:textId="77777777" w:rsidR="001E7B59" w:rsidRDefault="001B31B0">
      <w:pPr>
        <w:jc w:val="both"/>
      </w:pPr>
      <w:proofErr w:type="gramStart"/>
      <w:r>
        <w:t>So</w:t>
      </w:r>
      <w:proofErr w:type="gramEnd"/>
      <w:r>
        <w:t xml:space="preserve"> although in CAGR, SR and MDD </w:t>
      </w:r>
      <w:proofErr w:type="spellStart"/>
      <w:r>
        <w:rPr>
          <w:b/>
        </w:rPr>
        <w:t>Mojena</w:t>
      </w:r>
      <w:proofErr w:type="spellEnd"/>
      <w:r>
        <w:rPr>
          <w:b/>
        </w:rPr>
        <w:t>-strategy</w:t>
      </w:r>
      <w:r>
        <w:t xml:space="preserve"> slightly beats the simple Buy-and-Hold strategy - it </w:t>
      </w:r>
      <w:r>
        <w:rPr>
          <w:b/>
        </w:rPr>
        <w:t>clearly underperforms the SMA10 strategy</w:t>
      </w:r>
      <w:r>
        <w:t>.</w:t>
      </w:r>
    </w:p>
    <w:p w14:paraId="24ABF609" w14:textId="77777777" w:rsidR="001E7B59" w:rsidRDefault="001E7B59">
      <w:pPr>
        <w:jc w:val="both"/>
      </w:pPr>
    </w:p>
    <w:p w14:paraId="740A796E" w14:textId="77777777" w:rsidR="001E7B59" w:rsidRDefault="001B31B0">
      <w:pPr>
        <w:pStyle w:val="Heading2"/>
        <w:jc w:val="both"/>
        <w:rPr>
          <w:color w:val="CC0000"/>
        </w:rPr>
      </w:pPr>
      <w:bookmarkStart w:id="10" w:name="_nshuym38unaf" w:colFirst="0" w:colLast="0"/>
      <w:bookmarkEnd w:id="10"/>
      <w:r>
        <w:br w:type="page"/>
      </w:r>
    </w:p>
    <w:p w14:paraId="50E159B6" w14:textId="77777777" w:rsidR="001E7B59" w:rsidRDefault="001B31B0">
      <w:pPr>
        <w:pStyle w:val="Heading2"/>
        <w:jc w:val="both"/>
        <w:rPr>
          <w:color w:val="CC0000"/>
        </w:rPr>
      </w:pPr>
      <w:bookmarkStart w:id="11" w:name="_ad8992uq1auu" w:colFirst="0" w:colLast="0"/>
      <w:bookmarkEnd w:id="11"/>
      <w:r>
        <w:rPr>
          <w:color w:val="CC0000"/>
        </w:rPr>
        <w:lastRenderedPageBreak/>
        <w:t>Analysis of SMA10</w:t>
      </w:r>
    </w:p>
    <w:p w14:paraId="703B728E" w14:textId="77777777" w:rsidR="001E7B59" w:rsidRDefault="001E7B59">
      <w:pPr>
        <w:jc w:val="both"/>
      </w:pPr>
    </w:p>
    <w:p w14:paraId="33A6B0D1" w14:textId="77777777" w:rsidR="001E7B59" w:rsidRDefault="001B31B0">
      <w:pPr>
        <w:jc w:val="both"/>
      </w:pPr>
      <w:r>
        <w:t xml:space="preserve">When we see these results then it’s an evident question whether SMA10 strategy could be even better with other parameters. </w:t>
      </w:r>
      <w:proofErr w:type="gramStart"/>
      <w:r>
        <w:t>Therefore</w:t>
      </w:r>
      <w:proofErr w:type="gramEnd"/>
      <w:r>
        <w:t xml:space="preserve"> I extended my calculations in two ways:</w:t>
      </w:r>
    </w:p>
    <w:p w14:paraId="1CDA05E3" w14:textId="77777777" w:rsidR="001E7B59" w:rsidRDefault="001E7B59">
      <w:pPr>
        <w:ind w:left="720"/>
        <w:jc w:val="both"/>
      </w:pPr>
    </w:p>
    <w:p w14:paraId="7320A5A3" w14:textId="77777777" w:rsidR="001E7B59" w:rsidRDefault="001B31B0">
      <w:pPr>
        <w:numPr>
          <w:ilvl w:val="0"/>
          <w:numId w:val="5"/>
        </w:numPr>
        <w:jc w:val="both"/>
      </w:pPr>
      <w:proofErr w:type="gramStart"/>
      <w:r>
        <w:t>first</w:t>
      </w:r>
      <w:proofErr w:type="gramEnd"/>
      <w:r>
        <w:t xml:space="preserve"> I used different look-back periods to calculate SMA value and compared that </w:t>
      </w:r>
      <w:r>
        <w:t>to different live values to create a signal</w:t>
      </w:r>
    </w:p>
    <w:p w14:paraId="467F45B1" w14:textId="77777777" w:rsidR="001E7B59" w:rsidRDefault="001B31B0">
      <w:pPr>
        <w:numPr>
          <w:ilvl w:val="0"/>
          <w:numId w:val="5"/>
        </w:numPr>
        <w:jc w:val="both"/>
      </w:pPr>
      <w:r>
        <w:t xml:space="preserve">second I used EMA, i.e. </w:t>
      </w:r>
      <w:hyperlink r:id="rId34" w:anchor="Exponential_moving_average">
        <w:r>
          <w:rPr>
            <w:color w:val="1155CC"/>
            <w:u w:val="single"/>
          </w:rPr>
          <w:t>Exponential Moving Average</w:t>
        </w:r>
      </w:hyperlink>
      <w:r>
        <w:t xml:space="preserve"> instead of SMA, also with different parameters</w:t>
      </w:r>
    </w:p>
    <w:p w14:paraId="1BA16B4C" w14:textId="77777777" w:rsidR="001E7B59" w:rsidRDefault="001E7B59">
      <w:pPr>
        <w:jc w:val="both"/>
      </w:pPr>
    </w:p>
    <w:p w14:paraId="1A9E0DD7" w14:textId="77777777" w:rsidR="001E7B59" w:rsidRDefault="001B31B0">
      <w:pPr>
        <w:jc w:val="both"/>
      </w:pPr>
      <w:r>
        <w:t>The above “origin</w:t>
      </w:r>
      <w:r>
        <w:t>al” SMA10 calculation looks like this:</w:t>
      </w:r>
    </w:p>
    <w:p w14:paraId="3C85B2AB" w14:textId="77777777" w:rsidR="001E7B59" w:rsidRDefault="001B31B0">
      <w:pPr>
        <w:numPr>
          <w:ilvl w:val="0"/>
          <w:numId w:val="4"/>
        </w:numPr>
        <w:jc w:val="both"/>
      </w:pPr>
      <w:r>
        <w:t xml:space="preserve">Take the (adjusted) monthly closing prices for 10 consecutive months </w:t>
      </w:r>
      <w:proofErr w:type="gramStart"/>
      <w:r>
        <w:t>M(</w:t>
      </w:r>
      <w:proofErr w:type="gramEnd"/>
      <w:r>
        <w:t>-9), M(-8), …, M(0) as P(-9), P(-8), …, P(0)</w:t>
      </w:r>
    </w:p>
    <w:p w14:paraId="7024217C" w14:textId="77777777" w:rsidR="001E7B59" w:rsidRDefault="001B31B0">
      <w:pPr>
        <w:numPr>
          <w:ilvl w:val="0"/>
          <w:numId w:val="4"/>
        </w:numPr>
        <w:jc w:val="both"/>
      </w:pPr>
      <w:r>
        <w:t xml:space="preserve">Calculate the arithmetical average of them: </w:t>
      </w:r>
      <w:proofErr w:type="gramStart"/>
      <w:r>
        <w:t>A(</w:t>
      </w:r>
      <w:proofErr w:type="gramEnd"/>
      <w:r>
        <w:t>0)</w:t>
      </w:r>
    </w:p>
    <w:p w14:paraId="35258A4F" w14:textId="77777777" w:rsidR="001E7B59" w:rsidRDefault="001B31B0">
      <w:pPr>
        <w:numPr>
          <w:ilvl w:val="0"/>
          <w:numId w:val="4"/>
        </w:numPr>
        <w:jc w:val="both"/>
      </w:pPr>
      <w:r>
        <w:t xml:space="preserve">Compare </w:t>
      </w:r>
      <w:proofErr w:type="gramStart"/>
      <w:r>
        <w:t>A(</w:t>
      </w:r>
      <w:proofErr w:type="gramEnd"/>
      <w:r>
        <w:t xml:space="preserve">0) and </w:t>
      </w:r>
      <w:proofErr w:type="spellStart"/>
      <w:r>
        <w:t>and</w:t>
      </w:r>
      <w:proofErr w:type="spellEnd"/>
      <w:r>
        <w:t xml:space="preserve"> P(0). If </w:t>
      </w:r>
      <w:proofErr w:type="gramStart"/>
      <w:r>
        <w:t>P(</w:t>
      </w:r>
      <w:proofErr w:type="gramEnd"/>
      <w:r>
        <w:t>0)&gt; A(0), then the S</w:t>
      </w:r>
      <w:r>
        <w:t>(0) signal for month M(0) is 1, otherwise 0</w:t>
      </w:r>
    </w:p>
    <w:p w14:paraId="7C37C0B4" w14:textId="77777777" w:rsidR="001E7B59" w:rsidRDefault="001B31B0">
      <w:pPr>
        <w:numPr>
          <w:ilvl w:val="0"/>
          <w:numId w:val="4"/>
        </w:numPr>
        <w:jc w:val="both"/>
      </w:pPr>
      <w:r>
        <w:t xml:space="preserve">During whole month </w:t>
      </w:r>
      <w:proofErr w:type="gramStart"/>
      <w:r>
        <w:t>M(</w:t>
      </w:r>
      <w:proofErr w:type="gramEnd"/>
      <w:r>
        <w:t xml:space="preserve">1) use the signal S(0) - </w:t>
      </w:r>
      <w:proofErr w:type="spellStart"/>
      <w:r>
        <w:t>i.e</w:t>
      </w:r>
      <w:proofErr w:type="spellEnd"/>
      <w:r>
        <w:t xml:space="preserve"> invest in SPY if S(0)=1, otherwise in Bond.</w:t>
      </w:r>
    </w:p>
    <w:p w14:paraId="01E8A897" w14:textId="77777777" w:rsidR="001E7B59" w:rsidRDefault="001E7B59">
      <w:pPr>
        <w:jc w:val="both"/>
      </w:pPr>
    </w:p>
    <w:p w14:paraId="55984B3F" w14:textId="77777777" w:rsidR="001E7B59" w:rsidRDefault="001B31B0">
      <w:pPr>
        <w:jc w:val="both"/>
      </w:pPr>
      <w:r>
        <w:t xml:space="preserve">For first extension of SMA10 I created 12 versions where calculation and usage of </w:t>
      </w:r>
      <w:proofErr w:type="gramStart"/>
      <w:r>
        <w:t>S(</w:t>
      </w:r>
      <w:proofErr w:type="gramEnd"/>
      <w:r>
        <w:t>0) looked like this:</w:t>
      </w:r>
    </w:p>
    <w:p w14:paraId="4E8B980A" w14:textId="77777777" w:rsidR="001E7B59" w:rsidRDefault="001E7B59">
      <w:pPr>
        <w:jc w:val="center"/>
        <w:rPr>
          <w:sz w:val="18"/>
          <w:szCs w:val="18"/>
        </w:rPr>
      </w:pPr>
    </w:p>
    <w:p w14:paraId="5C54948B" w14:textId="77777777" w:rsidR="001E7B59" w:rsidRDefault="001B31B0">
      <w:pPr>
        <w:jc w:val="center"/>
      </w:pPr>
      <w:r>
        <w:rPr>
          <w:sz w:val="18"/>
          <w:szCs w:val="18"/>
        </w:rPr>
        <w:t>Table 9. SM</w:t>
      </w:r>
      <w:r>
        <w:rPr>
          <w:sz w:val="18"/>
          <w:szCs w:val="18"/>
        </w:rPr>
        <w:t xml:space="preserve">A 10 versions by calculation and usage of </w:t>
      </w:r>
      <w:proofErr w:type="gramStart"/>
      <w:r>
        <w:rPr>
          <w:sz w:val="18"/>
          <w:szCs w:val="18"/>
        </w:rPr>
        <w:t>S(</w:t>
      </w:r>
      <w:proofErr w:type="gramEnd"/>
      <w:r>
        <w:rPr>
          <w:sz w:val="18"/>
          <w:szCs w:val="18"/>
        </w:rPr>
        <w:t>0)</w:t>
      </w:r>
    </w:p>
    <w:p w14:paraId="33D37B54" w14:textId="77777777" w:rsidR="001E7B59" w:rsidRDefault="001B31B0">
      <w:pPr>
        <w:jc w:val="center"/>
      </w:pPr>
      <w:r>
        <w:rPr>
          <w:noProof/>
        </w:rPr>
        <w:drawing>
          <wp:inline distT="114300" distB="114300" distL="114300" distR="114300" wp14:anchorId="7D3827EC" wp14:editId="6E607108">
            <wp:extent cx="5514722" cy="1692637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722" cy="1692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F0F65" w14:textId="77777777" w:rsidR="001E7B59" w:rsidRDefault="001E7B59">
      <w:pPr>
        <w:jc w:val="center"/>
      </w:pPr>
    </w:p>
    <w:p w14:paraId="4F6E7347" w14:textId="77777777" w:rsidR="001E7B59" w:rsidRDefault="001B31B0">
      <w:proofErr w:type="gramStart"/>
      <w:r>
        <w:t>So</w:t>
      </w:r>
      <w:proofErr w:type="gramEnd"/>
      <w:r>
        <w:t xml:space="preserve"> version_1 means that for example:</w:t>
      </w:r>
    </w:p>
    <w:p w14:paraId="5B493F9C" w14:textId="77777777" w:rsidR="001E7B59" w:rsidRDefault="001B31B0">
      <w:pPr>
        <w:numPr>
          <w:ilvl w:val="0"/>
          <w:numId w:val="4"/>
        </w:numPr>
        <w:jc w:val="both"/>
      </w:pPr>
      <w:r>
        <w:t>Take the (adjusted) monthly closing prices for January, February, …, October</w:t>
      </w:r>
    </w:p>
    <w:p w14:paraId="241A3531" w14:textId="77777777" w:rsidR="001E7B59" w:rsidRDefault="001B31B0">
      <w:pPr>
        <w:numPr>
          <w:ilvl w:val="0"/>
          <w:numId w:val="4"/>
        </w:numPr>
        <w:jc w:val="both"/>
      </w:pPr>
      <w:r>
        <w:t xml:space="preserve">Calculate the arithmetical average of them: </w:t>
      </w:r>
      <w:proofErr w:type="gramStart"/>
      <w:r>
        <w:t>A(</w:t>
      </w:r>
      <w:proofErr w:type="gramEnd"/>
      <w:r>
        <w:t>0)</w:t>
      </w:r>
    </w:p>
    <w:p w14:paraId="1C775366" w14:textId="77777777" w:rsidR="001E7B59" w:rsidRDefault="001B31B0">
      <w:pPr>
        <w:numPr>
          <w:ilvl w:val="0"/>
          <w:numId w:val="4"/>
        </w:numPr>
        <w:jc w:val="both"/>
      </w:pPr>
      <w:r>
        <w:t xml:space="preserve">Compare </w:t>
      </w:r>
      <w:proofErr w:type="gramStart"/>
      <w:r>
        <w:t>A(</w:t>
      </w:r>
      <w:proofErr w:type="gramEnd"/>
      <w:r>
        <w:t>0) and monthly closing price of O</w:t>
      </w:r>
      <w:r>
        <w:t xml:space="preserve">ctober (which is P(0)). If October closing price &gt; </w:t>
      </w:r>
      <w:proofErr w:type="gramStart"/>
      <w:r>
        <w:t>A(</w:t>
      </w:r>
      <w:proofErr w:type="gramEnd"/>
      <w:r>
        <w:t>0), then we get a signal of 1, otherwise 0</w:t>
      </w:r>
    </w:p>
    <w:p w14:paraId="28C7252E" w14:textId="77777777" w:rsidR="001E7B59" w:rsidRDefault="001B31B0">
      <w:pPr>
        <w:numPr>
          <w:ilvl w:val="0"/>
          <w:numId w:val="4"/>
        </w:numPr>
        <w:jc w:val="both"/>
      </w:pPr>
      <w:r>
        <w:t>Use this signal during whole November, i.e. invest in SPY if this signal is 1, otherwise in Bond.</w:t>
      </w:r>
    </w:p>
    <w:p w14:paraId="7AEA273B" w14:textId="77777777" w:rsidR="001E7B59" w:rsidRDefault="001E7B59"/>
    <w:p w14:paraId="03EFF441" w14:textId="77777777" w:rsidR="001E7B59" w:rsidRDefault="001B31B0">
      <w:r>
        <w:t>Meanwhile version_8 means that for example:</w:t>
      </w:r>
    </w:p>
    <w:p w14:paraId="277A11CB" w14:textId="77777777" w:rsidR="001E7B59" w:rsidRDefault="001B31B0">
      <w:pPr>
        <w:numPr>
          <w:ilvl w:val="0"/>
          <w:numId w:val="4"/>
        </w:numPr>
        <w:jc w:val="both"/>
      </w:pPr>
      <w:r>
        <w:t>Take the (adjusted) monthly closing prices for (previous) November, (previous) December, January, February, …, August (so 10 consecutive months)</w:t>
      </w:r>
    </w:p>
    <w:p w14:paraId="11096AB9" w14:textId="77777777" w:rsidR="001E7B59" w:rsidRDefault="001B31B0">
      <w:pPr>
        <w:numPr>
          <w:ilvl w:val="0"/>
          <w:numId w:val="4"/>
        </w:numPr>
        <w:jc w:val="both"/>
      </w:pPr>
      <w:r>
        <w:t xml:space="preserve">Calculate the arithmetical average of them: </w:t>
      </w:r>
      <w:proofErr w:type="gramStart"/>
      <w:r>
        <w:t>A(</w:t>
      </w:r>
      <w:proofErr w:type="gramEnd"/>
      <w:r>
        <w:t>-2)</w:t>
      </w:r>
    </w:p>
    <w:p w14:paraId="314FE3BF" w14:textId="77777777" w:rsidR="001E7B59" w:rsidRDefault="001B31B0">
      <w:pPr>
        <w:numPr>
          <w:ilvl w:val="0"/>
          <w:numId w:val="4"/>
        </w:numPr>
        <w:jc w:val="both"/>
      </w:pPr>
      <w:r>
        <w:t xml:space="preserve">Compare </w:t>
      </w:r>
      <w:proofErr w:type="gramStart"/>
      <w:r>
        <w:t>A(</w:t>
      </w:r>
      <w:proofErr w:type="gramEnd"/>
      <w:r>
        <w:t>-2) and</w:t>
      </w:r>
      <w:r>
        <w:t xml:space="preserve"> monthly closing price of October (which is P(0)). If October closing price &gt; </w:t>
      </w:r>
      <w:proofErr w:type="gramStart"/>
      <w:r>
        <w:t>A(</w:t>
      </w:r>
      <w:proofErr w:type="gramEnd"/>
      <w:r>
        <w:t>-2), then we get a signal of 1, otherwise 0</w:t>
      </w:r>
    </w:p>
    <w:p w14:paraId="60E0D420" w14:textId="77777777" w:rsidR="001E7B59" w:rsidRDefault="001B31B0">
      <w:pPr>
        <w:numPr>
          <w:ilvl w:val="0"/>
          <w:numId w:val="4"/>
        </w:numPr>
        <w:jc w:val="both"/>
      </w:pPr>
      <w:r>
        <w:t>Use this signal during whole December (instead of November as in version_1), i.e. invest in SPY if this signal is 1, otherwise in Bo</w:t>
      </w:r>
      <w:r>
        <w:t>nd</w:t>
      </w:r>
    </w:p>
    <w:p w14:paraId="2C36C33E" w14:textId="77777777" w:rsidR="001E7B59" w:rsidRDefault="001E7B59">
      <w:pPr>
        <w:jc w:val="both"/>
      </w:pPr>
    </w:p>
    <w:p w14:paraId="4BECDF6A" w14:textId="77777777" w:rsidR="001E7B59" w:rsidRDefault="001B31B0">
      <w:pPr>
        <w:jc w:val="both"/>
      </w:pPr>
      <w:r>
        <w:t xml:space="preserve">So version_8 in practice means that </w:t>
      </w:r>
      <w:r>
        <w:rPr>
          <w:color w:val="222222"/>
          <w:highlight w:val="white"/>
        </w:rPr>
        <w:t>we compare the current price to an older moving average to calculate a signal (we skip the last month, which is a general practice in trend following studies to let a 1 month short term mean reversion to take place)</w:t>
      </w:r>
      <w:r>
        <w:t>l</w:t>
      </w:r>
      <w:r>
        <w:t xml:space="preserve"> and use this signal not during the following but a later month.</w:t>
      </w:r>
    </w:p>
    <w:p w14:paraId="5943C0B2" w14:textId="77777777" w:rsidR="001E7B59" w:rsidRDefault="001B31B0">
      <w:r>
        <w:br w:type="page"/>
      </w:r>
    </w:p>
    <w:p w14:paraId="174448AE" w14:textId="77777777" w:rsidR="001E7B59" w:rsidRDefault="001B31B0">
      <w:r>
        <w:lastRenderedPageBreak/>
        <w:t xml:space="preserve">With this bunch of possible </w:t>
      </w:r>
      <w:proofErr w:type="gramStart"/>
      <w:r>
        <w:t>strategies</w:t>
      </w:r>
      <w:proofErr w:type="gramEnd"/>
      <w:r>
        <w:t xml:space="preserve"> I got the following SMA10 clones:</w:t>
      </w:r>
    </w:p>
    <w:p w14:paraId="31A4F0C9" w14:textId="77777777" w:rsidR="001E7B59" w:rsidRDefault="001E7B59">
      <w:pPr>
        <w:jc w:val="center"/>
        <w:rPr>
          <w:sz w:val="18"/>
          <w:szCs w:val="18"/>
        </w:rPr>
      </w:pPr>
    </w:p>
    <w:p w14:paraId="1FB623FE" w14:textId="77777777" w:rsidR="001E7B59" w:rsidRDefault="001B31B0">
      <w:pPr>
        <w:jc w:val="center"/>
      </w:pPr>
      <w:r>
        <w:rPr>
          <w:sz w:val="18"/>
          <w:szCs w:val="18"/>
        </w:rPr>
        <w:t xml:space="preserve">Chart 10. Net cumulative values of $1 initial investments for different SMA10 strategies, 1993-01-01 - 2018-08-31, </w:t>
      </w:r>
      <w:r>
        <w:rPr>
          <w:sz w:val="18"/>
          <w:szCs w:val="18"/>
        </w:rPr>
        <w:t>logarithmic scale</w:t>
      </w:r>
      <w:r>
        <w:rPr>
          <w:color w:val="222222"/>
          <w:highlight w:val="white"/>
        </w:rPr>
        <w:t xml:space="preserve"> </w:t>
      </w:r>
    </w:p>
    <w:p w14:paraId="298F7A00" w14:textId="77777777" w:rsidR="001E7B59" w:rsidRDefault="001B31B0">
      <w:pPr>
        <w:jc w:val="center"/>
      </w:pPr>
      <w:r>
        <w:rPr>
          <w:noProof/>
        </w:rPr>
        <w:drawing>
          <wp:inline distT="114300" distB="114300" distL="114300" distR="114300" wp14:anchorId="04DD3A1E" wp14:editId="360B4E44">
            <wp:extent cx="5503483" cy="3974738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483" cy="3974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482AB8" w14:textId="77777777" w:rsidR="001E7B59" w:rsidRDefault="001E7B59"/>
    <w:p w14:paraId="6B9B8AB7" w14:textId="77777777" w:rsidR="001E7B59" w:rsidRDefault="001B31B0">
      <w:pPr>
        <w:jc w:val="both"/>
      </w:pPr>
      <w:r>
        <w:t>Not surprisingly version_1, …, version_12 run more or less parallel - the biggest difference between them came from the performance of 2001 (for example until 2004-01-01 version_12 is the best and version_3 is the worst, the differenc</w:t>
      </w:r>
      <w:r>
        <w:t>e between them until that point is 31%, but after 2004-01-01 the difference between them is less than 0.5%).</w:t>
      </w:r>
    </w:p>
    <w:p w14:paraId="49257F53" w14:textId="77777777" w:rsidR="001E7B59" w:rsidRDefault="001E7B59">
      <w:pPr>
        <w:jc w:val="both"/>
      </w:pPr>
    </w:p>
    <w:p w14:paraId="3E926A25" w14:textId="77777777" w:rsidR="001E7B59" w:rsidRDefault="001B31B0">
      <w:pPr>
        <w:jc w:val="both"/>
      </w:pPr>
      <w:r>
        <w:t xml:space="preserve">But what is more important for us that </w:t>
      </w:r>
      <w:r>
        <w:rPr>
          <w:b/>
        </w:rPr>
        <w:t xml:space="preserve">11 versions out of 12 still outperform </w:t>
      </w:r>
      <w:proofErr w:type="spellStart"/>
      <w:r>
        <w:rPr>
          <w:b/>
        </w:rPr>
        <w:t>Mojena</w:t>
      </w:r>
      <w:proofErr w:type="spellEnd"/>
      <w:r>
        <w:t xml:space="preserve"> and the </w:t>
      </w:r>
      <w:r>
        <w:rPr>
          <w:b/>
        </w:rPr>
        <w:t>best versions are version_12 and the original version</w:t>
      </w:r>
      <w:r>
        <w:rPr>
          <w:b/>
        </w:rPr>
        <w:t>_1</w:t>
      </w:r>
      <w:r>
        <w:t xml:space="preserve"> (the first one is better only by 1% after nearly 26 years).</w:t>
      </w:r>
    </w:p>
    <w:p w14:paraId="11FEE2DD" w14:textId="77777777" w:rsidR="001E7B59" w:rsidRDefault="001E7B59">
      <w:pPr>
        <w:jc w:val="both"/>
      </w:pPr>
    </w:p>
    <w:p w14:paraId="7A51EE75" w14:textId="77777777" w:rsidR="001E7B59" w:rsidRDefault="001B31B0">
      <w:pPr>
        <w:jc w:val="both"/>
      </w:pPr>
      <w:r>
        <w:br w:type="page"/>
      </w:r>
    </w:p>
    <w:p w14:paraId="3435E4DB" w14:textId="77777777" w:rsidR="001E7B59" w:rsidRDefault="001B31B0">
      <w:pPr>
        <w:jc w:val="both"/>
        <w:rPr>
          <w:sz w:val="18"/>
          <w:szCs w:val="18"/>
        </w:rPr>
      </w:pPr>
      <w:r>
        <w:lastRenderedPageBreak/>
        <w:t>For a second extension of SMA10 I used longer look-back periods instead of 10 (namely 11, 12, 13, 14 and 15) and applied those with version_1-style signal calculation. The related chart look</w:t>
      </w:r>
      <w:r>
        <w:t>s like this:</w:t>
      </w:r>
    </w:p>
    <w:p w14:paraId="12998432" w14:textId="77777777" w:rsidR="001E7B59" w:rsidRDefault="001E7B59">
      <w:pPr>
        <w:jc w:val="both"/>
        <w:rPr>
          <w:sz w:val="18"/>
          <w:szCs w:val="18"/>
        </w:rPr>
      </w:pPr>
    </w:p>
    <w:p w14:paraId="26713574" w14:textId="77777777" w:rsidR="001E7B59" w:rsidRDefault="001B31B0">
      <w:pPr>
        <w:jc w:val="center"/>
        <w:rPr>
          <w:color w:val="222222"/>
          <w:highlight w:val="white"/>
        </w:rPr>
      </w:pPr>
      <w:r>
        <w:rPr>
          <w:sz w:val="18"/>
          <w:szCs w:val="18"/>
        </w:rPr>
        <w:t>Chart 11. Net cumulative values of $1 initial investments for different SMA strategies, 1993-01-01 - 2018-08-31, logarithmic scale</w:t>
      </w:r>
      <w:r>
        <w:rPr>
          <w:color w:val="222222"/>
          <w:highlight w:val="white"/>
        </w:rPr>
        <w:t xml:space="preserve"> </w:t>
      </w:r>
    </w:p>
    <w:p w14:paraId="601C5AF6" w14:textId="77777777" w:rsidR="001E7B59" w:rsidRDefault="001E7B59">
      <w:pPr>
        <w:jc w:val="center"/>
        <w:rPr>
          <w:color w:val="222222"/>
          <w:highlight w:val="white"/>
        </w:rPr>
      </w:pPr>
    </w:p>
    <w:p w14:paraId="3ADA7592" w14:textId="77777777" w:rsidR="001E7B59" w:rsidRDefault="001B31B0">
      <w:pPr>
        <w:jc w:val="both"/>
      </w:pPr>
      <w:r>
        <w:rPr>
          <w:noProof/>
        </w:rPr>
        <w:drawing>
          <wp:inline distT="114300" distB="114300" distL="114300" distR="114300" wp14:anchorId="6AC65779" wp14:editId="5616B5D1">
            <wp:extent cx="7052400" cy="5118100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D3296" w14:textId="77777777" w:rsidR="001E7B59" w:rsidRDefault="001E7B59">
      <w:pPr>
        <w:jc w:val="both"/>
      </w:pPr>
    </w:p>
    <w:p w14:paraId="65EA8872" w14:textId="77777777" w:rsidR="001E7B59" w:rsidRDefault="001B31B0">
      <w:pPr>
        <w:jc w:val="both"/>
      </w:pPr>
      <w:r>
        <w:t xml:space="preserve">The conclusions are similar: </w:t>
      </w:r>
      <w:r>
        <w:rPr>
          <w:b/>
        </w:rPr>
        <w:t xml:space="preserve">SMA10 is still the second best and all 6 strategies outperform </w:t>
      </w:r>
      <w:proofErr w:type="spellStart"/>
      <w:r>
        <w:rPr>
          <w:b/>
        </w:rPr>
        <w:t>Mojena</w:t>
      </w:r>
      <w:proofErr w:type="spellEnd"/>
      <w:r>
        <w:t>. Among SMA versions also SMA10 performed the best recovery after March 2009.</w:t>
      </w:r>
    </w:p>
    <w:p w14:paraId="71816317" w14:textId="77777777" w:rsidR="001E7B59" w:rsidRDefault="001B31B0">
      <w:pPr>
        <w:jc w:val="both"/>
      </w:pPr>
      <w:r>
        <w:br w:type="page"/>
      </w:r>
    </w:p>
    <w:p w14:paraId="0BC355DB" w14:textId="77777777" w:rsidR="001E7B59" w:rsidRDefault="001B31B0">
      <w:pPr>
        <w:pStyle w:val="Heading2"/>
        <w:jc w:val="both"/>
      </w:pPr>
      <w:bookmarkStart w:id="12" w:name="_w1tvu4qpt4ah" w:colFirst="0" w:colLast="0"/>
      <w:bookmarkEnd w:id="12"/>
      <w:r>
        <w:rPr>
          <w:color w:val="CC0000"/>
        </w:rPr>
        <w:lastRenderedPageBreak/>
        <w:t>Using EMA instead of SMA</w:t>
      </w:r>
    </w:p>
    <w:p w14:paraId="5FC166A2" w14:textId="77777777" w:rsidR="001E7B59" w:rsidRDefault="001E7B59">
      <w:pPr>
        <w:jc w:val="both"/>
      </w:pPr>
    </w:p>
    <w:p w14:paraId="198B37E9" w14:textId="77777777" w:rsidR="001E7B59" w:rsidRDefault="001B31B0">
      <w:pPr>
        <w:jc w:val="both"/>
      </w:pPr>
      <w:r>
        <w:t>As we mentioned above the second possible extension is using of EMA instead of SMA.</w:t>
      </w:r>
    </w:p>
    <w:p w14:paraId="0CEC9E12" w14:textId="77777777" w:rsidR="001E7B59" w:rsidRDefault="001E7B59">
      <w:pPr>
        <w:jc w:val="both"/>
      </w:pPr>
    </w:p>
    <w:p w14:paraId="6C78C365" w14:textId="77777777" w:rsidR="001E7B59" w:rsidRDefault="001B31B0">
      <w:pPr>
        <w:jc w:val="both"/>
      </w:pPr>
      <w:proofErr w:type="gramStart"/>
      <w:r>
        <w:t>First</w:t>
      </w:r>
      <w:proofErr w:type="gramEnd"/>
      <w:r>
        <w:t xml:space="preserve"> I calculated EMA10 and its 11 eleven variants with the same logic as above. For doing that I had to choose a discount factor and I used the most commonly used k = 2 </w:t>
      </w:r>
      <w:r>
        <w:t>/ (N+1) = 2/11 =0.1818% factor this time.</w:t>
      </w:r>
    </w:p>
    <w:p w14:paraId="6FECF5FF" w14:textId="77777777" w:rsidR="001E7B59" w:rsidRDefault="001B31B0">
      <w:pPr>
        <w:jc w:val="both"/>
      </w:pPr>
      <w:r>
        <w:t>Although version_1 was among the best even until 2015, finally it reached only a tied 5th place (with version_4).</w:t>
      </w:r>
    </w:p>
    <w:p w14:paraId="70A61EA9" w14:textId="77777777" w:rsidR="001E7B59" w:rsidRDefault="001B31B0">
      <w:pPr>
        <w:jc w:val="both"/>
      </w:pPr>
      <w:r>
        <w:t xml:space="preserve">But all 12 variants outperformed </w:t>
      </w:r>
      <w:proofErr w:type="spellStart"/>
      <w:r>
        <w:t>Mojena</w:t>
      </w:r>
      <w:proofErr w:type="spellEnd"/>
      <w:r>
        <w:t xml:space="preserve">. </w:t>
      </w:r>
      <w:proofErr w:type="gramStart"/>
      <w:r>
        <w:t>Actually</w:t>
      </w:r>
      <w:proofErr w:type="gramEnd"/>
      <w:r>
        <w:t xml:space="preserve"> the best 3 (version_3, version_6 and version_9) ev</w:t>
      </w:r>
      <w:r>
        <w:t>en slightly outperformed the best SMA10 variant (version_12). The common in these 3 versions that all apply (a differently calculated signal) only 3 months later.</w:t>
      </w:r>
    </w:p>
    <w:p w14:paraId="2FF3304F" w14:textId="77777777" w:rsidR="001E7B59" w:rsidRDefault="001E7B59">
      <w:pPr>
        <w:jc w:val="center"/>
        <w:rPr>
          <w:sz w:val="18"/>
          <w:szCs w:val="18"/>
        </w:rPr>
      </w:pPr>
    </w:p>
    <w:p w14:paraId="1F91045E" w14:textId="77777777" w:rsidR="001E7B59" w:rsidRDefault="001B31B0">
      <w:pPr>
        <w:jc w:val="center"/>
      </w:pPr>
      <w:r>
        <w:rPr>
          <w:sz w:val="18"/>
          <w:szCs w:val="18"/>
        </w:rPr>
        <w:t>Chart 12. Net cumulative values of $1 initial investments for different EMA10 strategies, 19</w:t>
      </w:r>
      <w:r>
        <w:rPr>
          <w:sz w:val="18"/>
          <w:szCs w:val="18"/>
        </w:rPr>
        <w:t>93-01-01 - 2018-08-31, logarithmic scale</w:t>
      </w:r>
      <w:r>
        <w:rPr>
          <w:color w:val="222222"/>
          <w:highlight w:val="white"/>
        </w:rPr>
        <w:t xml:space="preserve"> </w:t>
      </w:r>
    </w:p>
    <w:p w14:paraId="1961506F" w14:textId="77777777" w:rsidR="001E7B59" w:rsidRDefault="001B31B0">
      <w:pPr>
        <w:jc w:val="both"/>
      </w:pPr>
      <w:r>
        <w:rPr>
          <w:noProof/>
        </w:rPr>
        <w:drawing>
          <wp:inline distT="114300" distB="114300" distL="114300" distR="114300" wp14:anchorId="4049EC51" wp14:editId="6EFBADA6">
            <wp:extent cx="7052400" cy="51181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77456" w14:textId="77777777" w:rsidR="001E7B59" w:rsidRDefault="001B31B0">
      <w:pPr>
        <w:jc w:val="both"/>
      </w:pPr>
      <w:r>
        <w:br w:type="page"/>
      </w:r>
    </w:p>
    <w:p w14:paraId="4716E20E" w14:textId="77777777" w:rsidR="001E7B59" w:rsidRDefault="001B31B0">
      <w:pPr>
        <w:jc w:val="both"/>
      </w:pPr>
      <w:r>
        <w:lastRenderedPageBreak/>
        <w:t xml:space="preserve">After this I also prepared EMA10, …, EMA15 variants - and the conclusion was the same as at SMA: </w:t>
      </w:r>
      <w:r>
        <w:rPr>
          <w:b/>
        </w:rPr>
        <w:t xml:space="preserve">EMA10 is the second best (slightly under EMA12) and all version them outperformed </w:t>
      </w:r>
      <w:proofErr w:type="spellStart"/>
      <w:r>
        <w:rPr>
          <w:b/>
        </w:rPr>
        <w:t>Mojena</w:t>
      </w:r>
      <w:proofErr w:type="spellEnd"/>
      <w:r>
        <w:t>.</w:t>
      </w:r>
    </w:p>
    <w:p w14:paraId="53EB129E" w14:textId="77777777" w:rsidR="001E7B59" w:rsidRDefault="001E7B59">
      <w:pPr>
        <w:jc w:val="both"/>
      </w:pPr>
    </w:p>
    <w:p w14:paraId="7C3627F0" w14:textId="77777777" w:rsidR="001E7B59" w:rsidRDefault="001B31B0">
      <w:pPr>
        <w:jc w:val="center"/>
      </w:pPr>
      <w:r>
        <w:rPr>
          <w:sz w:val="18"/>
          <w:szCs w:val="18"/>
        </w:rPr>
        <w:t>Chart 13. Net cumulati</w:t>
      </w:r>
      <w:r>
        <w:rPr>
          <w:sz w:val="18"/>
          <w:szCs w:val="18"/>
        </w:rPr>
        <w:t>ve values of $1 initial investments for different EMA strategies, 1993-01-01 - 2018-08-31, logarithmic scale</w:t>
      </w:r>
      <w:r>
        <w:rPr>
          <w:color w:val="222222"/>
          <w:highlight w:val="white"/>
        </w:rPr>
        <w:t xml:space="preserve"> </w:t>
      </w:r>
    </w:p>
    <w:p w14:paraId="44A71BA5" w14:textId="77777777" w:rsidR="001E7B59" w:rsidRDefault="001B31B0">
      <w:pPr>
        <w:jc w:val="both"/>
      </w:pPr>
      <w:r>
        <w:rPr>
          <w:noProof/>
        </w:rPr>
        <w:drawing>
          <wp:inline distT="114300" distB="114300" distL="114300" distR="114300" wp14:anchorId="4841AB6C" wp14:editId="1A5A1A4A">
            <wp:extent cx="7052400" cy="51181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C73B7" w14:textId="77777777" w:rsidR="001E7B59" w:rsidRDefault="001E7B59">
      <w:pPr>
        <w:jc w:val="both"/>
      </w:pPr>
    </w:p>
    <w:p w14:paraId="79500719" w14:textId="77777777" w:rsidR="001E7B59" w:rsidRDefault="001B31B0">
      <w:pPr>
        <w:jc w:val="both"/>
      </w:pPr>
      <w:r>
        <w:br w:type="page"/>
      </w:r>
    </w:p>
    <w:p w14:paraId="0E2D3F33" w14:textId="77777777" w:rsidR="001E7B59" w:rsidRDefault="001B31B0">
      <w:pPr>
        <w:pStyle w:val="Heading2"/>
        <w:jc w:val="both"/>
      </w:pPr>
      <w:bookmarkStart w:id="13" w:name="_krrwt52bi89b" w:colFirst="0" w:colLast="0"/>
      <w:bookmarkEnd w:id="13"/>
      <w:r>
        <w:rPr>
          <w:color w:val="CC0000"/>
        </w:rPr>
        <w:lastRenderedPageBreak/>
        <w:t>Comparison of SMA and EMA</w:t>
      </w:r>
    </w:p>
    <w:p w14:paraId="78DE3767" w14:textId="77777777" w:rsidR="001E7B59" w:rsidRDefault="001E7B59">
      <w:pPr>
        <w:jc w:val="both"/>
      </w:pPr>
    </w:p>
    <w:p w14:paraId="00006D3F" w14:textId="77777777" w:rsidR="001E7B59" w:rsidRDefault="001B31B0">
      <w:pPr>
        <w:jc w:val="both"/>
      </w:pPr>
      <w:proofErr w:type="gramStart"/>
      <w:r>
        <w:t>Finally</w:t>
      </w:r>
      <w:proofErr w:type="gramEnd"/>
      <w:r>
        <w:t xml:space="preserve"> I compared EMA10 (version_1) and SMA10 (version_1).</w:t>
      </w:r>
    </w:p>
    <w:p w14:paraId="2B6BC30F" w14:textId="77777777" w:rsidR="001E7B59" w:rsidRDefault="001E7B59">
      <w:pPr>
        <w:jc w:val="both"/>
      </w:pPr>
    </w:p>
    <w:p w14:paraId="6026E0A1" w14:textId="77777777" w:rsidR="001E7B59" w:rsidRDefault="001B31B0">
      <w:pPr>
        <w:jc w:val="center"/>
      </w:pPr>
      <w:r>
        <w:rPr>
          <w:sz w:val="18"/>
          <w:szCs w:val="18"/>
        </w:rPr>
        <w:t>Chart 14. Net cumulative values of $1 initial investm</w:t>
      </w:r>
      <w:r>
        <w:rPr>
          <w:sz w:val="18"/>
          <w:szCs w:val="18"/>
        </w:rPr>
        <w:t>ents for SMA10 and EMA10 strategies, 1993-01-01 - 2018-08-31, logarithmic scale</w:t>
      </w:r>
      <w:r>
        <w:rPr>
          <w:color w:val="222222"/>
          <w:highlight w:val="white"/>
        </w:rPr>
        <w:t xml:space="preserve"> </w:t>
      </w:r>
    </w:p>
    <w:p w14:paraId="4E84615F" w14:textId="77777777" w:rsidR="001E7B59" w:rsidRDefault="001E7B59">
      <w:pPr>
        <w:jc w:val="both"/>
      </w:pPr>
    </w:p>
    <w:p w14:paraId="47984E08" w14:textId="77777777" w:rsidR="001E7B59" w:rsidRDefault="001B31B0">
      <w:pPr>
        <w:jc w:val="both"/>
      </w:pPr>
      <w:r>
        <w:rPr>
          <w:noProof/>
        </w:rPr>
        <w:drawing>
          <wp:inline distT="114300" distB="114300" distL="114300" distR="114300" wp14:anchorId="0DAF4A60" wp14:editId="18C4EEEA">
            <wp:extent cx="7052400" cy="511810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65E8D" w14:textId="77777777" w:rsidR="001E7B59" w:rsidRDefault="001E7B59">
      <w:pPr>
        <w:jc w:val="both"/>
      </w:pPr>
    </w:p>
    <w:p w14:paraId="5E96124D" w14:textId="77777777" w:rsidR="001E7B59" w:rsidRDefault="001E7B59">
      <w:pPr>
        <w:jc w:val="both"/>
      </w:pPr>
    </w:p>
    <w:p w14:paraId="3E48EDF6" w14:textId="77777777" w:rsidR="001E7B59" w:rsidRDefault="001B31B0">
      <w:pPr>
        <w:jc w:val="both"/>
      </w:pPr>
      <w:r>
        <w:br w:type="page"/>
      </w:r>
    </w:p>
    <w:p w14:paraId="0EDDD5FB" w14:textId="77777777" w:rsidR="001E7B59" w:rsidRDefault="001B31B0">
      <w:pPr>
        <w:jc w:val="both"/>
      </w:pPr>
      <w:r>
        <w:lastRenderedPageBreak/>
        <w:t xml:space="preserve">Performance indicators for SMA10 (version_1) can be found in </w:t>
      </w:r>
      <w:hyperlink w:anchor="y1vhqcqx5j1d">
        <w:r>
          <w:rPr>
            <w:color w:val="1155CC"/>
            <w:u w:val="single"/>
          </w:rPr>
          <w:t>Table 6</w:t>
        </w:r>
      </w:hyperlink>
      <w:r>
        <w:t>, the same for EMA10 (version_1) in the following Table 15.</w:t>
      </w:r>
    </w:p>
    <w:p w14:paraId="6F66A8F7" w14:textId="77777777" w:rsidR="001E7B59" w:rsidRDefault="001E7B59">
      <w:pPr>
        <w:jc w:val="both"/>
      </w:pPr>
    </w:p>
    <w:p w14:paraId="506D0111" w14:textId="77777777" w:rsidR="001E7B59" w:rsidRDefault="001B31B0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15. Performance indicators for EMA10 strategy (with SPY and ^IRX), 1993 - 2018</w:t>
      </w:r>
    </w:p>
    <w:p w14:paraId="00CED467" w14:textId="77777777" w:rsidR="001E7B59" w:rsidRDefault="001E7B59">
      <w:pPr>
        <w:jc w:val="center"/>
        <w:rPr>
          <w:sz w:val="18"/>
          <w:szCs w:val="18"/>
        </w:rPr>
      </w:pPr>
    </w:p>
    <w:p w14:paraId="19B72420" w14:textId="77777777" w:rsidR="001E7B59" w:rsidRDefault="001B31B0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60E36A9" wp14:editId="7A53DF50">
            <wp:extent cx="4210050" cy="5343525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34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195A7" w14:textId="77777777" w:rsidR="001E7B59" w:rsidRDefault="001E7B59">
      <w:pPr>
        <w:jc w:val="both"/>
      </w:pPr>
    </w:p>
    <w:p w14:paraId="4C06E539" w14:textId="77777777" w:rsidR="001E7B59" w:rsidRDefault="001E7B59">
      <w:pPr>
        <w:jc w:val="both"/>
      </w:pPr>
    </w:p>
    <w:p w14:paraId="3F948AB8" w14:textId="77777777" w:rsidR="001E7B59" w:rsidRDefault="001E7B59">
      <w:pPr>
        <w:jc w:val="both"/>
      </w:pPr>
    </w:p>
    <w:p w14:paraId="409A9042" w14:textId="77777777" w:rsidR="001E7B59" w:rsidRDefault="001B31B0">
      <w:pPr>
        <w:pStyle w:val="Heading1"/>
        <w:rPr>
          <w:color w:val="38761D"/>
        </w:rPr>
      </w:pPr>
      <w:bookmarkStart w:id="14" w:name="_ea60ho894c" w:colFirst="0" w:colLast="0"/>
      <w:bookmarkEnd w:id="14"/>
      <w:r>
        <w:br w:type="page"/>
      </w:r>
    </w:p>
    <w:p w14:paraId="049CFE89" w14:textId="77777777" w:rsidR="001E7B59" w:rsidRDefault="001B31B0">
      <w:pPr>
        <w:pStyle w:val="Heading1"/>
        <w:rPr>
          <w:color w:val="38761D"/>
        </w:rPr>
      </w:pPr>
      <w:bookmarkStart w:id="15" w:name="_kqqkf3nb2dbc" w:colFirst="0" w:colLast="0"/>
      <w:bookmarkEnd w:id="15"/>
      <w:r>
        <w:rPr>
          <w:color w:val="38761D"/>
        </w:rPr>
        <w:lastRenderedPageBreak/>
        <w:t>Conclusion</w:t>
      </w:r>
    </w:p>
    <w:p w14:paraId="15DD76FC" w14:textId="77777777" w:rsidR="001E7B59" w:rsidRDefault="001E7B59"/>
    <w:p w14:paraId="6C2A5146" w14:textId="77777777" w:rsidR="001E7B59" w:rsidRDefault="001B31B0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Although we elucidated its performance, the purpose of this study was not to test the </w:t>
      </w:r>
      <w:proofErr w:type="spellStart"/>
      <w:r>
        <w:rPr>
          <w:color w:val="222222"/>
          <w:highlight w:val="white"/>
        </w:rPr>
        <w:t>Mojena</w:t>
      </w:r>
      <w:proofErr w:type="spellEnd"/>
      <w:r>
        <w:rPr>
          <w:color w:val="222222"/>
          <w:highlight w:val="white"/>
        </w:rPr>
        <w:t xml:space="preserve"> market timing model per se. Rather, to find a bear market avoidance strategy, a crash protection, which could warn us to abandon market exposure in real trading.</w:t>
      </w:r>
    </w:p>
    <w:p w14:paraId="2E7CDF52" w14:textId="77777777" w:rsidR="001E7B59" w:rsidRDefault="001B31B0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>W</w:t>
      </w:r>
      <w:r>
        <w:rPr>
          <w:color w:val="222222"/>
          <w:highlight w:val="white"/>
        </w:rPr>
        <w:t xml:space="preserve">e wanted to know whether </w:t>
      </w:r>
      <w:proofErr w:type="spellStart"/>
      <w:r>
        <w:rPr>
          <w:color w:val="222222"/>
          <w:highlight w:val="white"/>
        </w:rPr>
        <w:t>Mojena</w:t>
      </w:r>
      <w:proofErr w:type="spellEnd"/>
      <w:r>
        <w:rPr>
          <w:color w:val="222222"/>
          <w:highlight w:val="white"/>
        </w:rPr>
        <w:t xml:space="preserve"> or MA-based timers are more successful and also how sensitive the performance of SMA is to perturbing the parameters.</w:t>
      </w:r>
    </w:p>
    <w:p w14:paraId="07900E0E" w14:textId="77777777" w:rsidR="001E7B59" w:rsidRDefault="001E7B59">
      <w:pPr>
        <w:jc w:val="both"/>
      </w:pPr>
    </w:p>
    <w:p w14:paraId="3C77EA94" w14:textId="77777777" w:rsidR="001E7B59" w:rsidRDefault="001B31B0">
      <w:pPr>
        <w:jc w:val="both"/>
      </w:pPr>
      <w:r>
        <w:t xml:space="preserve">In this study we </w:t>
      </w:r>
      <w:proofErr w:type="spellStart"/>
      <w:r>
        <w:rPr>
          <w:b/>
        </w:rPr>
        <w:t>backtest</w:t>
      </w:r>
      <w:r>
        <w:t>ed</w:t>
      </w:r>
      <w:proofErr w:type="spellEnd"/>
      <w:r>
        <w:t xml:space="preserve"> professor Richard </w:t>
      </w:r>
      <w:proofErr w:type="spellStart"/>
      <w:r>
        <w:rPr>
          <w:b/>
        </w:rPr>
        <w:t>Mojena’s</w:t>
      </w:r>
      <w:proofErr w:type="spellEnd"/>
      <w:r>
        <w:t xml:space="preserve"> </w:t>
      </w:r>
      <w:r>
        <w:rPr>
          <w:b/>
        </w:rPr>
        <w:t>live market timing model</w:t>
      </w:r>
      <w:r>
        <w:t>. His method for timing th</w:t>
      </w:r>
      <w:r>
        <w:t xml:space="preserve">e broad U.S. stock market based on a combination of many monetary, fundamental, technical and sentiment indicators to predict changes in intermediate-term and long-term market trends. </w:t>
      </w:r>
    </w:p>
    <w:p w14:paraId="5F6F1225" w14:textId="77777777" w:rsidR="001E7B59" w:rsidRDefault="001E7B59">
      <w:pPr>
        <w:jc w:val="both"/>
      </w:pPr>
    </w:p>
    <w:p w14:paraId="4318023D" w14:textId="77777777" w:rsidR="001E7B59" w:rsidRDefault="001B31B0">
      <w:pPr>
        <w:jc w:val="both"/>
      </w:pPr>
      <w:r>
        <w:rPr>
          <w:b/>
        </w:rPr>
        <w:t>Based upon the results for the last nearly 26 years</w:t>
      </w:r>
      <w:r>
        <w:t xml:space="preserve"> (actually from the</w:t>
      </w:r>
      <w:r>
        <w:t xml:space="preserve"> January 1993 inception of SPDR S&amp;P 500 ETF (SPY) until the end of 2018) we have found that even </w:t>
      </w:r>
      <w:r>
        <w:rPr>
          <w:b/>
        </w:rPr>
        <w:t>simple Buy-and-Hold strategy</w:t>
      </w:r>
      <w:r>
        <w:t xml:space="preserve"> (for SPY)</w:t>
      </w:r>
      <w:r>
        <w:rPr>
          <w:b/>
        </w:rPr>
        <w:t xml:space="preserve"> just nearly remained under the performance of </w:t>
      </w:r>
      <w:proofErr w:type="spellStart"/>
      <w:r>
        <w:rPr>
          <w:b/>
        </w:rPr>
        <w:t>Mojena</w:t>
      </w:r>
      <w:proofErr w:type="spellEnd"/>
      <w:r>
        <w:rPr>
          <w:b/>
        </w:rPr>
        <w:t xml:space="preserve"> Live strategy</w:t>
      </w:r>
      <w:r>
        <w:rPr>
          <w:b/>
          <w:vertAlign w:val="superscript"/>
        </w:rPr>
        <w:footnoteReference w:id="2"/>
      </w:r>
      <w:r>
        <w:t>.</w:t>
      </w:r>
      <w:r>
        <w:br/>
      </w:r>
      <w:r>
        <w:br/>
        <w:t xml:space="preserve">Moreover: SMA10 strategy (which switches between </w:t>
      </w:r>
      <w:r>
        <w:t xml:space="preserve">13-week treasury bill and SPY) outperformed </w:t>
      </w:r>
      <w:proofErr w:type="spellStart"/>
      <w:r>
        <w:t>Mojena</w:t>
      </w:r>
      <w:proofErr w:type="spellEnd"/>
      <w:r>
        <w:t xml:space="preserve"> Live (10.1% CAGR vs 9.40%, 0.82 SR vs 0.7 and 20.7% MDD vs 32.3%). </w:t>
      </w:r>
      <w:proofErr w:type="gramStart"/>
      <w:r>
        <w:t>Therefore</w:t>
      </w:r>
      <w:proofErr w:type="gramEnd"/>
      <w:r>
        <w:t xml:space="preserve"> we also analysed SMA strategies with different parameters and even changed the simple arithmetical moving average to an exponent</w:t>
      </w:r>
      <w:r>
        <w:t>ial one (EMA).</w:t>
      </w:r>
    </w:p>
    <w:p w14:paraId="0B1AAE1D" w14:textId="77777777" w:rsidR="001E7B59" w:rsidRDefault="001E7B59">
      <w:pPr>
        <w:jc w:val="both"/>
      </w:pPr>
    </w:p>
    <w:p w14:paraId="19963ABF" w14:textId="77777777" w:rsidR="001E7B59" w:rsidRDefault="001B31B0">
      <w:pPr>
        <w:jc w:val="both"/>
      </w:pPr>
      <w:r>
        <w:t xml:space="preserve">During these parameter and methodology optimization we have found that </w:t>
      </w:r>
      <w:r>
        <w:rPr>
          <w:b/>
        </w:rPr>
        <w:t xml:space="preserve">10 </w:t>
      </w:r>
      <w:proofErr w:type="gramStart"/>
      <w:r>
        <w:rPr>
          <w:b/>
        </w:rPr>
        <w:t>month</w:t>
      </w:r>
      <w:proofErr w:type="gramEnd"/>
      <w:r>
        <w:rPr>
          <w:b/>
        </w:rPr>
        <w:t xml:space="preserve"> as a look-back period</w:t>
      </w:r>
      <w:r>
        <w:t xml:space="preserve"> for average calculation </w:t>
      </w:r>
      <w:r>
        <w:rPr>
          <w:b/>
        </w:rPr>
        <w:t>is among the best</w:t>
      </w:r>
      <w:r>
        <w:t xml:space="preserve"> - </w:t>
      </w:r>
      <w:r>
        <w:rPr>
          <w:b/>
        </w:rPr>
        <w:t>but typically</w:t>
      </w:r>
      <w:r>
        <w:t xml:space="preserve"> with any</w:t>
      </w:r>
      <w:r>
        <w:rPr>
          <w:b/>
        </w:rPr>
        <w:t xml:space="preserve"> other</w:t>
      </w:r>
      <w:r>
        <w:t xml:space="preserve"> parameters we still got </w:t>
      </w:r>
      <w:r>
        <w:rPr>
          <w:b/>
        </w:rPr>
        <w:t>better</w:t>
      </w:r>
      <w:r>
        <w:t xml:space="preserve"> results </w:t>
      </w:r>
      <w:r>
        <w:rPr>
          <w:b/>
        </w:rPr>
        <w:t>than</w:t>
      </w:r>
      <w:r>
        <w:t xml:space="preserve"> with </w:t>
      </w:r>
      <w:proofErr w:type="spellStart"/>
      <w:r>
        <w:rPr>
          <w:b/>
        </w:rPr>
        <w:t>Mojena</w:t>
      </w:r>
      <w:proofErr w:type="spellEnd"/>
      <w:r>
        <w:rPr>
          <w:b/>
        </w:rPr>
        <w:t xml:space="preserve"> Live</w:t>
      </w:r>
      <w:r>
        <w:t xml:space="preserve"> stra</w:t>
      </w:r>
      <w:r>
        <w:t>tegy.</w:t>
      </w:r>
    </w:p>
    <w:p w14:paraId="33586B4F" w14:textId="77777777" w:rsidR="001E7B59" w:rsidRDefault="001E7B59">
      <w:pPr>
        <w:jc w:val="both"/>
      </w:pPr>
    </w:p>
    <w:p w14:paraId="621978D5" w14:textId="77777777" w:rsidR="001E7B59" w:rsidRDefault="001B31B0">
      <w:pPr>
        <w:jc w:val="both"/>
      </w:pPr>
      <w:r>
        <w:t>(</w:t>
      </w:r>
      <w:proofErr w:type="gramStart"/>
      <w:r>
        <w:t>Actually</w:t>
      </w:r>
      <w:proofErr w:type="gramEnd"/>
      <w:r>
        <w:t xml:space="preserve"> we got the best result with EMA10 version_6, where we use a signal that was calculated by 1 month lag and was applied by 2 months lag).</w:t>
      </w:r>
    </w:p>
    <w:p w14:paraId="063D79FF" w14:textId="77777777" w:rsidR="001E7B59" w:rsidRDefault="001E7B59">
      <w:pPr>
        <w:jc w:val="both"/>
      </w:pPr>
    </w:p>
    <w:p w14:paraId="7F7DCD5A" w14:textId="77777777" w:rsidR="001E7B59" w:rsidRDefault="001B31B0">
      <w:pPr>
        <w:jc w:val="both"/>
        <w:rPr>
          <w:color w:val="222222"/>
        </w:rPr>
      </w:pPr>
      <w:r>
        <w:rPr>
          <w:color w:val="222222"/>
        </w:rPr>
        <w:t>Based on our findings, whenever we want a market crash protection signal to stop loss real-life market</w:t>
      </w:r>
      <w:r>
        <w:rPr>
          <w:color w:val="222222"/>
        </w:rPr>
        <w:t xml:space="preserve"> exposure, rather than the </w:t>
      </w:r>
      <w:proofErr w:type="spellStart"/>
      <w:r>
        <w:rPr>
          <w:color w:val="222222"/>
        </w:rPr>
        <w:t>Mojena</w:t>
      </w:r>
      <w:proofErr w:type="spellEnd"/>
      <w:r>
        <w:rPr>
          <w:color w:val="222222"/>
        </w:rPr>
        <w:t xml:space="preserve"> signals, we should use the SMA/EMA techniques which we have found to be quite robust to changing parameters. That basically means it is not crucial which parameters we use in particular; the performance is supposed to be s</w:t>
      </w:r>
      <w:r>
        <w:rPr>
          <w:color w:val="222222"/>
        </w:rPr>
        <w:t>imilar.</w:t>
      </w:r>
    </w:p>
    <w:p w14:paraId="183BEBDC" w14:textId="77777777" w:rsidR="001E7B59" w:rsidRDefault="001E7B59">
      <w:pPr>
        <w:jc w:val="both"/>
      </w:pPr>
    </w:p>
    <w:sectPr w:rsidR="001E7B5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848E9" w14:textId="77777777" w:rsidR="001B31B0" w:rsidRDefault="001B31B0">
      <w:pPr>
        <w:spacing w:line="240" w:lineRule="auto"/>
      </w:pPr>
      <w:r>
        <w:separator/>
      </w:r>
    </w:p>
  </w:endnote>
  <w:endnote w:type="continuationSeparator" w:id="0">
    <w:p w14:paraId="127576B2" w14:textId="77777777" w:rsidR="001B31B0" w:rsidRDefault="001B31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EE3E5" w14:textId="77777777" w:rsidR="00090DAE" w:rsidRDefault="00090D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A4414" w14:textId="77777777" w:rsidR="001E7B59" w:rsidRDefault="001B31B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 w:rsidR="00090DAE">
      <w:fldChar w:fldCharType="separate"/>
    </w:r>
    <w:r w:rsidR="00090DAE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80129" w14:textId="77777777" w:rsidR="00090DAE" w:rsidRDefault="00090D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2D67C" w14:textId="77777777" w:rsidR="001B31B0" w:rsidRDefault="001B31B0">
      <w:pPr>
        <w:spacing w:line="240" w:lineRule="auto"/>
      </w:pPr>
      <w:r>
        <w:separator/>
      </w:r>
    </w:p>
  </w:footnote>
  <w:footnote w:type="continuationSeparator" w:id="0">
    <w:p w14:paraId="485736CB" w14:textId="77777777" w:rsidR="001B31B0" w:rsidRDefault="001B31B0">
      <w:pPr>
        <w:spacing w:line="240" w:lineRule="auto"/>
      </w:pPr>
      <w:r>
        <w:continuationSeparator/>
      </w:r>
    </w:p>
  </w:footnote>
  <w:footnote w:id="1">
    <w:p w14:paraId="1A833F0D" w14:textId="77777777" w:rsidR="001E7B59" w:rsidRDefault="001B31B0">
      <w:pPr>
        <w:spacing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I used 252 days because in average there are 252 trading days in a given year. </w:t>
      </w:r>
      <w:proofErr w:type="gramStart"/>
      <w:r>
        <w:rPr>
          <w:sz w:val="18"/>
          <w:szCs w:val="18"/>
        </w:rPr>
        <w:t>However</w:t>
      </w:r>
      <w:proofErr w:type="gramEnd"/>
      <w:r>
        <w:rPr>
          <w:sz w:val="18"/>
          <w:szCs w:val="18"/>
        </w:rPr>
        <w:t xml:space="preserve"> this kind of calculation is still not perfect because with this method we calculate the same interest rate for a 3-day-long weekend and a common weekday. We could use 3</w:t>
      </w:r>
      <w:r>
        <w:rPr>
          <w:sz w:val="18"/>
          <w:szCs w:val="18"/>
        </w:rPr>
        <w:t xml:space="preserve">60 (or more precisely 365) instead of 252 and then take into account the time-difference between the trading days - but it would have only a small effect on our final results and deductions (for example in case of </w:t>
      </w:r>
      <w:proofErr w:type="spellStart"/>
      <w:r>
        <w:rPr>
          <w:sz w:val="18"/>
          <w:szCs w:val="18"/>
        </w:rPr>
        <w:t>Mojena</w:t>
      </w:r>
      <w:proofErr w:type="spellEnd"/>
      <w:r>
        <w:rPr>
          <w:sz w:val="18"/>
          <w:szCs w:val="18"/>
        </w:rPr>
        <w:t>-style investment it means only 0.3%</w:t>
      </w:r>
      <w:r>
        <w:rPr>
          <w:sz w:val="18"/>
          <w:szCs w:val="18"/>
        </w:rPr>
        <w:t xml:space="preserve"> difference in the total portfolio value - after 25 years of investment).</w:t>
      </w:r>
    </w:p>
  </w:footnote>
  <w:footnote w:id="2">
    <w:p w14:paraId="38169869" w14:textId="77777777" w:rsidR="001E7B59" w:rsidRDefault="001B31B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please note that for the bear market of 2008 I got a better result for </w:t>
      </w:r>
      <w:proofErr w:type="spellStart"/>
      <w:r>
        <w:t>Mojena</w:t>
      </w:r>
      <w:proofErr w:type="spellEnd"/>
      <w:r>
        <w:t xml:space="preserve"> than the related cxoadvisory.com article in its own </w:t>
      </w:r>
      <w:proofErr w:type="spellStart"/>
      <w:r>
        <w:t>backtest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4FA29" w14:textId="77777777" w:rsidR="00090DAE" w:rsidRDefault="00090D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05488" w14:textId="49856F87" w:rsidR="001E7B59" w:rsidRDefault="001B31B0">
    <w:pPr>
      <w:rPr>
        <w:sz w:val="18"/>
        <w:szCs w:val="18"/>
      </w:rPr>
    </w:pPr>
    <w:r>
      <w:rPr>
        <w:sz w:val="18"/>
        <w:szCs w:val="18"/>
      </w:rPr>
      <w:t>Simple technical bear market avoidance strategy, 1993-2018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proofErr w:type="spellStart"/>
    <w:r w:rsidR="00090DAE">
      <w:rPr>
        <w:sz w:val="18"/>
        <w:szCs w:val="18"/>
      </w:rPr>
      <w:t>Dr.</w:t>
    </w:r>
    <w:proofErr w:type="spellEnd"/>
    <w:r w:rsidR="00090DAE">
      <w:rPr>
        <w:sz w:val="18"/>
        <w:szCs w:val="18"/>
      </w:rPr>
      <w:t xml:space="preserve"> George </w:t>
    </w:r>
    <w:proofErr w:type="spellStart"/>
    <w:r w:rsidR="00090DAE">
      <w:rPr>
        <w:sz w:val="18"/>
        <w:szCs w:val="18"/>
      </w:rPr>
      <w:t>Antal</w:t>
    </w:r>
    <w:proofErr w:type="spellEnd"/>
    <w:r>
      <w:rPr>
        <w:sz w:val="18"/>
        <w:szCs w:val="18"/>
      </w:rPr>
      <w:t xml:space="preserve">, 3DClick Ltd. </w:t>
    </w:r>
    <w:r>
      <w:rPr>
        <w:sz w:val="18"/>
        <w:szCs w:val="18"/>
      </w:rPr>
      <w:tab/>
      <w:t>2019-</w:t>
    </w:r>
    <w:r w:rsidR="00090DAE">
      <w:rPr>
        <w:sz w:val="18"/>
        <w:szCs w:val="18"/>
      </w:rPr>
      <w:t>10</w:t>
    </w:r>
    <w:r>
      <w:rPr>
        <w:sz w:val="18"/>
        <w:szCs w:val="18"/>
      </w:rPr>
      <w:t>-</w:t>
    </w:r>
    <w:r w:rsidR="00090DAE">
      <w:rPr>
        <w:sz w:val="18"/>
        <w:szCs w:val="18"/>
      </w:rPr>
      <w:t>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D6AAB" w14:textId="77777777" w:rsidR="00090DAE" w:rsidRDefault="00090D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E1987"/>
    <w:multiLevelType w:val="multilevel"/>
    <w:tmpl w:val="29DA1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9E614C"/>
    <w:multiLevelType w:val="multilevel"/>
    <w:tmpl w:val="B77E0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7B329B"/>
    <w:multiLevelType w:val="multilevel"/>
    <w:tmpl w:val="59B03A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B3424C"/>
    <w:multiLevelType w:val="multilevel"/>
    <w:tmpl w:val="375069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BC0E35"/>
    <w:multiLevelType w:val="multilevel"/>
    <w:tmpl w:val="5E7C45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B59"/>
    <w:rsid w:val="00090DAE"/>
    <w:rsid w:val="001B31B0"/>
    <w:rsid w:val="001E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5AC3"/>
  <w15:docId w15:val="{7EA5D34F-9B73-44FC-ACA2-406790FE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90D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DAE"/>
  </w:style>
  <w:style w:type="paragraph" w:styleId="Footer">
    <w:name w:val="footer"/>
    <w:basedOn w:val="Normal"/>
    <w:link w:val="FooterChar"/>
    <w:uiPriority w:val="99"/>
    <w:unhideWhenUsed/>
    <w:rsid w:val="00090D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finance.yahoo.com/q/hp?s=SPY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Drawdown_(economics)" TargetMode="External"/><Relationship Id="rId34" Type="http://schemas.openxmlformats.org/officeDocument/2006/relationships/hyperlink" Target="https://en.wikipedia.org/wiki/Moving_average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hyperlink" Target="https://www.cxoadvisory.com/2555/fundamental-valuation/mojena-market-timing-model/" TargetMode="External"/><Relationship Id="rId12" Type="http://schemas.openxmlformats.org/officeDocument/2006/relationships/hyperlink" Target="https://fred.stlouisfed.org/series/DTB3" TargetMode="External"/><Relationship Id="rId17" Type="http://schemas.openxmlformats.org/officeDocument/2006/relationships/hyperlink" Target="http://www.mojena.com/live.htm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mojena.com/model.htm" TargetMode="External"/><Relationship Id="rId20" Type="http://schemas.openxmlformats.org/officeDocument/2006/relationships/hyperlink" Target="https://en.wikipedia.org/wiki/Compound_annual_growth_rate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mojena.com/about.htm" TargetMode="External"/><Relationship Id="rId23" Type="http://schemas.openxmlformats.org/officeDocument/2006/relationships/hyperlink" Target="http://en.wikipedia.org/wiki/Sharpe_ratio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hyperlink" Target="https://finance.yahoo.com/quote/%5EIRX/chart?p=%5EIRX" TargetMode="External"/><Relationship Id="rId19" Type="http://schemas.openxmlformats.org/officeDocument/2006/relationships/hyperlink" Target="http://finance.yahoo.com/q/hp?s=%5EIRX" TargetMode="External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red.stlouisfed.org/series/DTB3" TargetMode="External"/><Relationship Id="rId14" Type="http://schemas.openxmlformats.org/officeDocument/2006/relationships/hyperlink" Target="http://www.mojena.com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s://finance.yahoo.com/quote/%5EIRX/history?p=%5EIR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2675</Words>
  <Characters>15254</Characters>
  <Application>Microsoft Office Word</Application>
  <DocSecurity>0</DocSecurity>
  <Lines>127</Lines>
  <Paragraphs>35</Paragraphs>
  <ScaleCrop>false</ScaleCrop>
  <Company/>
  <LinksUpToDate>false</LinksUpToDate>
  <CharactersWithSpaces>17894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gyantal</cp:lastModifiedBy>
  <cp:revision>2</cp:revision>
  <dcterms:created xsi:type="dcterms:W3CDTF">2020-09-09T11:00:00Z</dcterms:created>
  <dcterms:modified xsi:type="dcterms:W3CDTF">2020-09-09T11:01:00Z</dcterms:modified>
</cp:coreProperties>
</file>