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C1447FA" w14:textId="77777777" w:rsidR="00BA67E6" w:rsidRDefault="00BA67E6" w:rsidP="00BA67E6">
      <w:pPr>
        <w:jc w:val="center"/>
      </w:pPr>
      <w:bookmarkStart w:id="0" w:name="_8yoo0fekv7wm" w:colFirst="0" w:colLast="0"/>
      <w:bookmarkEnd w:id="0"/>
      <w:r>
        <w:t>Dr. George Antal</w:t>
      </w:r>
    </w:p>
    <w:p w14:paraId="0119E856" w14:textId="77777777" w:rsidR="00BA67E6" w:rsidRDefault="00BA67E6" w:rsidP="00BA67E6">
      <w:pPr>
        <w:jc w:val="center"/>
      </w:pPr>
      <w:r>
        <w:t>3D Click Limited</w:t>
      </w:r>
    </w:p>
    <w:p w14:paraId="38909157" w14:textId="59F2ECA7" w:rsidR="00BA67E6" w:rsidRDefault="00BA67E6" w:rsidP="00BA67E6">
      <w:pPr>
        <w:jc w:val="center"/>
        <w:rPr>
          <w:b/>
          <w:color w:val="0000FF"/>
        </w:rPr>
      </w:pPr>
      <w:r>
        <w:t>c/o Suite 431, 28 Old Brompton Road, London SW7 3SS</w:t>
      </w:r>
    </w:p>
    <w:p w14:paraId="1D9584CC" w14:textId="77777777" w:rsidR="00BA67E6" w:rsidRDefault="00BA67E6">
      <w:pPr>
        <w:pStyle w:val="Title"/>
        <w:pBdr>
          <w:top w:val="nil"/>
          <w:left w:val="nil"/>
          <w:bottom w:val="nil"/>
          <w:right w:val="nil"/>
          <w:between w:val="nil"/>
        </w:pBdr>
        <w:jc w:val="center"/>
        <w:rPr>
          <w:b/>
          <w:color w:val="0000FF"/>
        </w:rPr>
      </w:pPr>
    </w:p>
    <w:p w14:paraId="2D783F50" w14:textId="7329EED2" w:rsidR="004E6B93" w:rsidRPr="00BA67E6" w:rsidRDefault="0078359C" w:rsidP="00BA67E6">
      <w:pPr>
        <w:pStyle w:val="Title"/>
        <w:pBdr>
          <w:top w:val="nil"/>
          <w:left w:val="nil"/>
          <w:bottom w:val="nil"/>
          <w:right w:val="nil"/>
          <w:between w:val="nil"/>
        </w:pBdr>
        <w:jc w:val="center"/>
        <w:rPr>
          <w:rFonts w:ascii="Georgia" w:eastAsia="Georgia" w:hAnsi="Georgia" w:cs="Georgia"/>
          <w:b/>
          <w:color w:val="333333"/>
          <w:sz w:val="120"/>
          <w:szCs w:val="120"/>
        </w:rPr>
      </w:pPr>
      <w:r>
        <w:rPr>
          <w:b/>
          <w:color w:val="0000FF"/>
        </w:rPr>
        <w:t>The ‘Charmat Rebalancing’ Method</w:t>
      </w:r>
      <w:bookmarkStart w:id="1" w:name="_zahuwd8ju1gn" w:colFirst="0" w:colLast="0"/>
      <w:bookmarkEnd w:id="1"/>
    </w:p>
    <w:p w14:paraId="7921A8AA" w14:textId="77777777" w:rsidR="004E6B93" w:rsidRDefault="004E6B93">
      <w:pPr>
        <w:pBdr>
          <w:top w:val="nil"/>
          <w:left w:val="nil"/>
          <w:bottom w:val="nil"/>
          <w:right w:val="nil"/>
          <w:between w:val="nil"/>
        </w:pBdr>
      </w:pPr>
    </w:p>
    <w:p w14:paraId="1B508256" w14:textId="77777777" w:rsidR="004E6B93" w:rsidRDefault="004E6B93">
      <w:pPr>
        <w:pBdr>
          <w:top w:val="nil"/>
          <w:left w:val="nil"/>
          <w:bottom w:val="nil"/>
          <w:right w:val="nil"/>
          <w:between w:val="nil"/>
        </w:pBdr>
        <w:rPr>
          <w:color w:val="1155CC"/>
          <w:u w:val="single"/>
        </w:rPr>
      </w:pPr>
    </w:p>
    <w:sdt>
      <w:sdtPr>
        <w:id w:val="1853690578"/>
        <w:docPartObj>
          <w:docPartGallery w:val="Table of Contents"/>
          <w:docPartUnique/>
        </w:docPartObj>
      </w:sdtPr>
      <w:sdtEndPr/>
      <w:sdtContent>
        <w:p w14:paraId="7AA4EB64" w14:textId="77777777" w:rsidR="004E6B93" w:rsidRDefault="0078359C">
          <w:pPr>
            <w:tabs>
              <w:tab w:val="right" w:pos="11106"/>
            </w:tabs>
            <w:spacing w:before="80" w:line="240" w:lineRule="auto"/>
            <w:rPr>
              <w:b/>
              <w:color w:val="1155CC"/>
              <w:u w:val="single"/>
            </w:rPr>
          </w:pPr>
          <w:r>
            <w:fldChar w:fldCharType="begin"/>
          </w:r>
          <w:r>
            <w:instrText xml:space="preserve"> TOC \h \u \z </w:instrText>
          </w:r>
          <w:r>
            <w:fldChar w:fldCharType="separate"/>
          </w:r>
          <w:hyperlink w:anchor="_s0xa9kh7ayno">
            <w:r>
              <w:rPr>
                <w:b/>
                <w:color w:val="1155CC"/>
                <w:u w:val="single"/>
              </w:rPr>
              <w:t>Motivation</w:t>
            </w:r>
          </w:hyperlink>
          <w:r>
            <w:rPr>
              <w:b/>
              <w:color w:val="1155CC"/>
              <w:u w:val="single"/>
            </w:rPr>
            <w:tab/>
          </w:r>
          <w:r>
            <w:fldChar w:fldCharType="begin"/>
          </w:r>
          <w:r>
            <w:instrText xml:space="preserve"> PAGEREF _s0xa9kh7ayno \h </w:instrText>
          </w:r>
          <w:r>
            <w:fldChar w:fldCharType="separate"/>
          </w:r>
          <w:r>
            <w:rPr>
              <w:b/>
              <w:color w:val="1155CC"/>
              <w:u w:val="single"/>
            </w:rPr>
            <w:t>1</w:t>
          </w:r>
          <w:r>
            <w:fldChar w:fldCharType="end"/>
          </w:r>
        </w:p>
        <w:p w14:paraId="23E7467A" w14:textId="77777777" w:rsidR="004E6B93" w:rsidRDefault="0078359C">
          <w:pPr>
            <w:tabs>
              <w:tab w:val="right" w:pos="11106"/>
            </w:tabs>
            <w:spacing w:before="200" w:line="240" w:lineRule="auto"/>
            <w:rPr>
              <w:b/>
              <w:color w:val="1155CC"/>
              <w:u w:val="single"/>
            </w:rPr>
          </w:pPr>
          <w:hyperlink w:anchor="_30rae0sx5up3">
            <w:r>
              <w:rPr>
                <w:b/>
                <w:color w:val="1155CC"/>
                <w:u w:val="single"/>
              </w:rPr>
              <w:t>Used data</w:t>
            </w:r>
          </w:hyperlink>
          <w:r>
            <w:rPr>
              <w:b/>
              <w:color w:val="1155CC"/>
              <w:u w:val="single"/>
            </w:rPr>
            <w:tab/>
          </w:r>
          <w:r>
            <w:fldChar w:fldCharType="begin"/>
          </w:r>
          <w:r>
            <w:instrText xml:space="preserve"> PAGEREF _30rae0sx5up3 \h </w:instrText>
          </w:r>
          <w:r>
            <w:fldChar w:fldCharType="separate"/>
          </w:r>
          <w:r>
            <w:rPr>
              <w:b/>
              <w:color w:val="1155CC"/>
              <w:u w:val="single"/>
            </w:rPr>
            <w:t>1</w:t>
          </w:r>
          <w:r>
            <w:fldChar w:fldCharType="end"/>
          </w:r>
        </w:p>
        <w:p w14:paraId="7A878691" w14:textId="77777777" w:rsidR="004E6B93" w:rsidRDefault="0078359C">
          <w:pPr>
            <w:tabs>
              <w:tab w:val="right" w:pos="11106"/>
            </w:tabs>
            <w:spacing w:before="200" w:line="240" w:lineRule="auto"/>
            <w:rPr>
              <w:b/>
              <w:color w:val="1155CC"/>
              <w:u w:val="single"/>
            </w:rPr>
          </w:pPr>
          <w:hyperlink w:anchor="_4h4mx9ngarwf">
            <w:r>
              <w:rPr>
                <w:b/>
                <w:color w:val="1155CC"/>
                <w:u w:val="single"/>
              </w:rPr>
              <w:t>Our Current R</w:t>
            </w:r>
            <w:r>
              <w:rPr>
                <w:b/>
                <w:color w:val="1155CC"/>
                <w:u w:val="single"/>
              </w:rPr>
              <w:t>esults</w:t>
            </w:r>
          </w:hyperlink>
          <w:r>
            <w:rPr>
              <w:b/>
              <w:color w:val="1155CC"/>
              <w:u w:val="single"/>
            </w:rPr>
            <w:tab/>
          </w:r>
          <w:r>
            <w:fldChar w:fldCharType="begin"/>
          </w:r>
          <w:r>
            <w:instrText xml:space="preserve"> PAGEREF _4h4mx9ngarwf \h </w:instrText>
          </w:r>
          <w:r>
            <w:fldChar w:fldCharType="separate"/>
          </w:r>
          <w:r>
            <w:rPr>
              <w:b/>
              <w:color w:val="1155CC"/>
              <w:u w:val="single"/>
            </w:rPr>
            <w:t>2</w:t>
          </w:r>
          <w:r>
            <w:fldChar w:fldCharType="end"/>
          </w:r>
        </w:p>
        <w:p w14:paraId="3C42571F" w14:textId="77777777" w:rsidR="004E6B93" w:rsidRDefault="0078359C">
          <w:pPr>
            <w:tabs>
              <w:tab w:val="right" w:pos="11106"/>
            </w:tabs>
            <w:spacing w:before="60" w:line="240" w:lineRule="auto"/>
            <w:ind w:left="360"/>
            <w:rPr>
              <w:color w:val="1155CC"/>
              <w:u w:val="single"/>
            </w:rPr>
          </w:pPr>
          <w:hyperlink w:anchor="_ktkm6y4zzelf">
            <w:r>
              <w:rPr>
                <w:color w:val="1155CC"/>
                <w:u w:val="single"/>
              </w:rPr>
              <w:t>The simple case</w:t>
            </w:r>
          </w:hyperlink>
          <w:r>
            <w:rPr>
              <w:color w:val="1155CC"/>
              <w:u w:val="single"/>
            </w:rPr>
            <w:tab/>
          </w:r>
          <w:r>
            <w:fldChar w:fldCharType="begin"/>
          </w:r>
          <w:r>
            <w:instrText xml:space="preserve"> PAGEREF _ktkm6y4zzelf \h </w:instrText>
          </w:r>
          <w:r>
            <w:fldChar w:fldCharType="separate"/>
          </w:r>
          <w:r>
            <w:rPr>
              <w:color w:val="1155CC"/>
              <w:u w:val="single"/>
            </w:rPr>
            <w:t>2</w:t>
          </w:r>
          <w:r>
            <w:fldChar w:fldCharType="end"/>
          </w:r>
        </w:p>
        <w:p w14:paraId="58151036" w14:textId="77777777" w:rsidR="004E6B93" w:rsidRDefault="0078359C">
          <w:pPr>
            <w:tabs>
              <w:tab w:val="right" w:pos="11106"/>
            </w:tabs>
            <w:spacing w:before="60" w:line="240" w:lineRule="auto"/>
            <w:ind w:left="360"/>
            <w:rPr>
              <w:color w:val="1155CC"/>
              <w:u w:val="single"/>
            </w:rPr>
          </w:pPr>
          <w:hyperlink w:anchor="_pvut2kap90tf">
            <w:r>
              <w:rPr>
                <w:color w:val="1155CC"/>
                <w:u w:val="single"/>
              </w:rPr>
              <w:t>Stepping towards more complex cases</w:t>
            </w:r>
          </w:hyperlink>
          <w:r>
            <w:rPr>
              <w:color w:val="1155CC"/>
              <w:u w:val="single"/>
            </w:rPr>
            <w:tab/>
          </w:r>
          <w:r>
            <w:fldChar w:fldCharType="begin"/>
          </w:r>
          <w:r>
            <w:instrText xml:space="preserve"> PAGEREF _pvut2kap90tf \h </w:instrText>
          </w:r>
          <w:r>
            <w:fldChar w:fldCharType="separate"/>
          </w:r>
          <w:r>
            <w:rPr>
              <w:color w:val="1155CC"/>
              <w:u w:val="single"/>
            </w:rPr>
            <w:t>4</w:t>
          </w:r>
          <w:r>
            <w:fldChar w:fldCharType="end"/>
          </w:r>
        </w:p>
        <w:p w14:paraId="3B1BBA30" w14:textId="77777777" w:rsidR="004E6B93" w:rsidRDefault="0078359C">
          <w:pPr>
            <w:tabs>
              <w:tab w:val="right" w:pos="11106"/>
            </w:tabs>
            <w:spacing w:before="60" w:line="240" w:lineRule="auto"/>
            <w:ind w:left="360"/>
            <w:rPr>
              <w:color w:val="1155CC"/>
              <w:u w:val="single"/>
            </w:rPr>
          </w:pPr>
          <w:hyperlink w:anchor="_u5ehc9c8ib5">
            <w:r>
              <w:rPr>
                <w:color w:val="1155CC"/>
                <w:u w:val="single"/>
              </w:rPr>
              <w:t>Result of simulations</w:t>
            </w:r>
          </w:hyperlink>
          <w:r>
            <w:rPr>
              <w:color w:val="1155CC"/>
              <w:u w:val="single"/>
            </w:rPr>
            <w:tab/>
          </w:r>
          <w:r>
            <w:fldChar w:fldCharType="begin"/>
          </w:r>
          <w:r>
            <w:instrText xml:space="preserve"> PAGEREF _u5ehc9c8ib5 \h </w:instrText>
          </w:r>
          <w:r>
            <w:fldChar w:fldCharType="separate"/>
          </w:r>
          <w:r>
            <w:rPr>
              <w:color w:val="1155CC"/>
              <w:u w:val="single"/>
            </w:rPr>
            <w:t>6</w:t>
          </w:r>
          <w:r>
            <w:fldChar w:fldCharType="end"/>
          </w:r>
        </w:p>
        <w:p w14:paraId="31C2A3B9" w14:textId="77777777" w:rsidR="004E6B93" w:rsidRDefault="0078359C">
          <w:pPr>
            <w:tabs>
              <w:tab w:val="right" w:pos="11106"/>
            </w:tabs>
            <w:spacing w:before="60" w:line="240" w:lineRule="auto"/>
            <w:ind w:left="360"/>
            <w:rPr>
              <w:color w:val="1155CC"/>
              <w:u w:val="single"/>
            </w:rPr>
          </w:pPr>
          <w:hyperlink w:anchor="_165m53iyvi9q">
            <w:r>
              <w:rPr>
                <w:color w:val="1155CC"/>
                <w:u w:val="single"/>
              </w:rPr>
              <w:t>Real world adult-stock example</w:t>
            </w:r>
          </w:hyperlink>
          <w:r>
            <w:rPr>
              <w:color w:val="1155CC"/>
              <w:u w:val="single"/>
            </w:rPr>
            <w:tab/>
          </w:r>
          <w:r>
            <w:fldChar w:fldCharType="begin"/>
          </w:r>
          <w:r>
            <w:instrText xml:space="preserve"> PAGEREF _165m53iyvi9q \h </w:instrText>
          </w:r>
          <w:r>
            <w:fldChar w:fldCharType="separate"/>
          </w:r>
          <w:r>
            <w:rPr>
              <w:color w:val="1155CC"/>
              <w:u w:val="single"/>
            </w:rPr>
            <w:t>9</w:t>
          </w:r>
          <w:r>
            <w:fldChar w:fldCharType="end"/>
          </w:r>
        </w:p>
        <w:p w14:paraId="130FB359" w14:textId="77777777" w:rsidR="004E6B93" w:rsidRDefault="0078359C">
          <w:pPr>
            <w:tabs>
              <w:tab w:val="right" w:pos="11106"/>
            </w:tabs>
            <w:spacing w:before="60" w:line="240" w:lineRule="auto"/>
            <w:ind w:left="360"/>
            <w:rPr>
              <w:color w:val="1155CC"/>
              <w:u w:val="single"/>
            </w:rPr>
          </w:pPr>
          <w:hyperlink w:anchor="_y3nn3s6hukyq">
            <w:r>
              <w:rPr>
                <w:color w:val="1155CC"/>
                <w:u w:val="single"/>
              </w:rPr>
              <w:t>Percentile channels with GameChangers</w:t>
            </w:r>
          </w:hyperlink>
          <w:r>
            <w:rPr>
              <w:color w:val="1155CC"/>
              <w:u w:val="single"/>
            </w:rPr>
            <w:tab/>
          </w:r>
          <w:r>
            <w:fldChar w:fldCharType="begin"/>
          </w:r>
          <w:r>
            <w:instrText xml:space="preserve"> PAGEREF _y3nn3s6hukyq \h </w:instrText>
          </w:r>
          <w:r>
            <w:fldChar w:fldCharType="separate"/>
          </w:r>
          <w:r>
            <w:rPr>
              <w:color w:val="1155CC"/>
              <w:u w:val="single"/>
            </w:rPr>
            <w:t>12</w:t>
          </w:r>
          <w:r>
            <w:fldChar w:fldCharType="end"/>
          </w:r>
        </w:p>
        <w:p w14:paraId="5C600737" w14:textId="77777777" w:rsidR="004E6B93" w:rsidRDefault="0078359C">
          <w:pPr>
            <w:tabs>
              <w:tab w:val="right" w:pos="11106"/>
            </w:tabs>
            <w:spacing w:before="60" w:line="240" w:lineRule="auto"/>
            <w:ind w:left="360"/>
            <w:rPr>
              <w:color w:val="1155CC"/>
              <w:u w:val="single"/>
            </w:rPr>
          </w:pPr>
          <w:hyperlink w:anchor="_4np141qa1gm9">
            <w:r>
              <w:rPr>
                <w:color w:val="1155CC"/>
                <w:u w:val="single"/>
              </w:rPr>
              <w:t>Percentile chan</w:t>
            </w:r>
            <w:r>
              <w:rPr>
                <w:color w:val="1155CC"/>
                <w:u w:val="single"/>
              </w:rPr>
              <w:t>nels with Nasdaq100</w:t>
            </w:r>
          </w:hyperlink>
          <w:r>
            <w:rPr>
              <w:color w:val="1155CC"/>
              <w:u w:val="single"/>
            </w:rPr>
            <w:tab/>
          </w:r>
          <w:r>
            <w:fldChar w:fldCharType="begin"/>
          </w:r>
          <w:r>
            <w:instrText xml:space="preserve"> PAGEREF _4np141qa1gm9 \h </w:instrText>
          </w:r>
          <w:r>
            <w:fldChar w:fldCharType="separate"/>
          </w:r>
          <w:r>
            <w:rPr>
              <w:color w:val="1155CC"/>
              <w:u w:val="single"/>
            </w:rPr>
            <w:t>20</w:t>
          </w:r>
          <w:r>
            <w:fldChar w:fldCharType="end"/>
          </w:r>
        </w:p>
        <w:p w14:paraId="6B01B76C" w14:textId="77777777" w:rsidR="004E6B93" w:rsidRDefault="0078359C">
          <w:pPr>
            <w:tabs>
              <w:tab w:val="right" w:pos="11106"/>
            </w:tabs>
            <w:spacing w:before="60" w:line="240" w:lineRule="auto"/>
            <w:ind w:left="360"/>
            <w:rPr>
              <w:color w:val="1155CC"/>
              <w:u w:val="single"/>
            </w:rPr>
          </w:pPr>
          <w:hyperlink w:anchor="_m9wtbop4f98y">
            <w:r>
              <w:rPr>
                <w:color w:val="1155CC"/>
                <w:u w:val="single"/>
              </w:rPr>
              <w:t>Extension of the above “percentile channels with Nasdaq100” results</w:t>
            </w:r>
          </w:hyperlink>
          <w:r>
            <w:rPr>
              <w:color w:val="1155CC"/>
              <w:u w:val="single"/>
            </w:rPr>
            <w:tab/>
          </w:r>
          <w:r>
            <w:fldChar w:fldCharType="begin"/>
          </w:r>
          <w:r>
            <w:instrText xml:space="preserve"> PAGEREF _m9wtbop4f98y \h </w:instrText>
          </w:r>
          <w:r>
            <w:fldChar w:fldCharType="separate"/>
          </w:r>
          <w:r>
            <w:rPr>
              <w:color w:val="1155CC"/>
              <w:u w:val="single"/>
            </w:rPr>
            <w:t>22</w:t>
          </w:r>
          <w:r>
            <w:fldChar w:fldCharType="end"/>
          </w:r>
        </w:p>
        <w:p w14:paraId="3BE6A066" w14:textId="77777777" w:rsidR="004E6B93" w:rsidRDefault="0078359C">
          <w:pPr>
            <w:tabs>
              <w:tab w:val="right" w:pos="11106"/>
            </w:tabs>
            <w:spacing w:before="60" w:line="240" w:lineRule="auto"/>
            <w:ind w:left="360"/>
            <w:rPr>
              <w:color w:val="1155CC"/>
              <w:u w:val="single"/>
            </w:rPr>
          </w:pPr>
          <w:hyperlink w:anchor="_dzr0js7ukvvm">
            <w:r>
              <w:rPr>
                <w:color w:val="1155CC"/>
                <w:u w:val="single"/>
              </w:rPr>
              <w:t>Percentile channel strategy with different entry and exit signs</w:t>
            </w:r>
          </w:hyperlink>
          <w:r>
            <w:rPr>
              <w:color w:val="1155CC"/>
              <w:u w:val="single"/>
            </w:rPr>
            <w:tab/>
          </w:r>
          <w:r>
            <w:fldChar w:fldCharType="begin"/>
          </w:r>
          <w:r>
            <w:instrText xml:space="preserve"> PAGEREF _dzr0js7ukvvm \h </w:instrText>
          </w:r>
          <w:r>
            <w:fldChar w:fldCharType="separate"/>
          </w:r>
          <w:r>
            <w:rPr>
              <w:color w:val="1155CC"/>
              <w:u w:val="single"/>
            </w:rPr>
            <w:t>30</w:t>
          </w:r>
          <w:r>
            <w:fldChar w:fldCharType="end"/>
          </w:r>
        </w:p>
        <w:p w14:paraId="19A42DC4" w14:textId="77777777" w:rsidR="004E6B93" w:rsidRDefault="0078359C">
          <w:pPr>
            <w:tabs>
              <w:tab w:val="right" w:pos="11106"/>
            </w:tabs>
            <w:spacing w:before="60" w:line="240" w:lineRule="auto"/>
            <w:ind w:left="360"/>
            <w:rPr>
              <w:color w:val="1155CC"/>
              <w:u w:val="single"/>
            </w:rPr>
          </w:pPr>
          <w:hyperlink w:anchor="_qf494zrb39e6">
            <w:r>
              <w:rPr>
                <w:color w:val="1155CC"/>
                <w:u w:val="single"/>
              </w:rPr>
              <w:t>Percentile channels with random stocks</w:t>
            </w:r>
          </w:hyperlink>
          <w:r>
            <w:rPr>
              <w:color w:val="1155CC"/>
              <w:u w:val="single"/>
            </w:rPr>
            <w:tab/>
          </w:r>
          <w:r>
            <w:fldChar w:fldCharType="begin"/>
          </w:r>
          <w:r>
            <w:instrText xml:space="preserve"> PAGEREF _qf494zrb39e6 \h </w:instrText>
          </w:r>
          <w:r>
            <w:fldChar w:fldCharType="separate"/>
          </w:r>
          <w:r>
            <w:rPr>
              <w:color w:val="1155CC"/>
              <w:u w:val="single"/>
            </w:rPr>
            <w:t>32</w:t>
          </w:r>
          <w:r>
            <w:fldChar w:fldCharType="end"/>
          </w:r>
        </w:p>
        <w:p w14:paraId="4A7C8155" w14:textId="77777777" w:rsidR="004E6B93" w:rsidRDefault="0078359C">
          <w:pPr>
            <w:tabs>
              <w:tab w:val="right" w:pos="11106"/>
            </w:tabs>
            <w:spacing w:before="60" w:line="240" w:lineRule="auto"/>
            <w:ind w:left="360"/>
            <w:rPr>
              <w:color w:val="1155CC"/>
              <w:u w:val="single"/>
            </w:rPr>
          </w:pPr>
          <w:hyperlink w:anchor="_kfnvtuaq429y">
            <w:r>
              <w:rPr>
                <w:color w:val="1155CC"/>
                <w:u w:val="single"/>
              </w:rPr>
              <w:t>Different parameters for percentile channels strategy with random stocks</w:t>
            </w:r>
          </w:hyperlink>
          <w:r>
            <w:rPr>
              <w:color w:val="1155CC"/>
              <w:u w:val="single"/>
            </w:rPr>
            <w:tab/>
          </w:r>
          <w:r>
            <w:fldChar w:fldCharType="begin"/>
          </w:r>
          <w:r>
            <w:instrText xml:space="preserve"> PAGEREF _kfnvtuaq429y \h </w:instrText>
          </w:r>
          <w:r>
            <w:fldChar w:fldCharType="separate"/>
          </w:r>
          <w:r>
            <w:rPr>
              <w:color w:val="1155CC"/>
              <w:u w:val="single"/>
            </w:rPr>
            <w:t>33</w:t>
          </w:r>
          <w:r>
            <w:fldChar w:fldCharType="end"/>
          </w:r>
        </w:p>
        <w:p w14:paraId="257A7E82" w14:textId="77777777" w:rsidR="004E6B93" w:rsidRDefault="0078359C">
          <w:pPr>
            <w:tabs>
              <w:tab w:val="right" w:pos="11106"/>
            </w:tabs>
            <w:spacing w:before="60" w:line="240" w:lineRule="auto"/>
            <w:ind w:left="360"/>
            <w:rPr>
              <w:color w:val="1155CC"/>
              <w:u w:val="single"/>
            </w:rPr>
          </w:pPr>
          <w:hyperlink w:anchor="_8a7n96qmb9ky">
            <w:r>
              <w:rPr>
                <w:color w:val="1155CC"/>
                <w:u w:val="single"/>
              </w:rPr>
              <w:t>Percentile channels strategy with</w:t>
            </w:r>
            <w:r>
              <w:rPr>
                <w:color w:val="1155CC"/>
                <w:u w:val="single"/>
              </w:rPr>
              <w:t xml:space="preserve"> our suggested addiction-portfolio</w:t>
            </w:r>
          </w:hyperlink>
          <w:r>
            <w:rPr>
              <w:color w:val="1155CC"/>
              <w:u w:val="single"/>
            </w:rPr>
            <w:tab/>
          </w:r>
          <w:r>
            <w:fldChar w:fldCharType="begin"/>
          </w:r>
          <w:r>
            <w:instrText xml:space="preserve"> PAGEREF _8a7n96qmb9ky \h </w:instrText>
          </w:r>
          <w:r>
            <w:fldChar w:fldCharType="separate"/>
          </w:r>
          <w:r>
            <w:rPr>
              <w:color w:val="1155CC"/>
              <w:u w:val="single"/>
            </w:rPr>
            <w:t>34</w:t>
          </w:r>
          <w:r>
            <w:fldChar w:fldCharType="end"/>
          </w:r>
        </w:p>
        <w:p w14:paraId="675418E4" w14:textId="77777777" w:rsidR="004E6B93" w:rsidRDefault="0078359C">
          <w:pPr>
            <w:tabs>
              <w:tab w:val="right" w:pos="11106"/>
            </w:tabs>
            <w:spacing w:before="200" w:line="240" w:lineRule="auto"/>
            <w:rPr>
              <w:b/>
              <w:color w:val="1155CC"/>
              <w:u w:val="single"/>
            </w:rPr>
          </w:pPr>
          <w:hyperlink w:anchor="_j11no2yxdtkp">
            <w:r>
              <w:rPr>
                <w:b/>
                <w:color w:val="1155CC"/>
                <w:u w:val="single"/>
              </w:rPr>
              <w:t>Conclusion</w:t>
            </w:r>
          </w:hyperlink>
          <w:r>
            <w:rPr>
              <w:b/>
              <w:color w:val="1155CC"/>
              <w:u w:val="single"/>
            </w:rPr>
            <w:tab/>
          </w:r>
          <w:r>
            <w:fldChar w:fldCharType="begin"/>
          </w:r>
          <w:r>
            <w:instrText xml:space="preserve"> PAGEREF _j11no2yxdtkp \h </w:instrText>
          </w:r>
          <w:r>
            <w:fldChar w:fldCharType="separate"/>
          </w:r>
          <w:r>
            <w:rPr>
              <w:b/>
              <w:color w:val="1155CC"/>
              <w:u w:val="single"/>
            </w:rPr>
            <w:t>35</w:t>
          </w:r>
          <w:r>
            <w:fldChar w:fldCharType="end"/>
          </w:r>
        </w:p>
        <w:p w14:paraId="204BD09A" w14:textId="77777777" w:rsidR="004E6B93" w:rsidRDefault="0078359C">
          <w:pPr>
            <w:tabs>
              <w:tab w:val="right" w:pos="11106"/>
            </w:tabs>
            <w:spacing w:before="200" w:after="80" w:line="240" w:lineRule="auto"/>
            <w:rPr>
              <w:b/>
              <w:color w:val="1155CC"/>
              <w:u w:val="single"/>
            </w:rPr>
          </w:pPr>
          <w:hyperlink w:anchor="_xf55afn2c7d1">
            <w:r>
              <w:rPr>
                <w:b/>
                <w:color w:val="1155CC"/>
                <w:u w:val="single"/>
              </w:rPr>
              <w:t>Appendix</w:t>
            </w:r>
          </w:hyperlink>
          <w:r>
            <w:rPr>
              <w:b/>
              <w:color w:val="1155CC"/>
              <w:u w:val="single"/>
            </w:rPr>
            <w:tab/>
          </w:r>
          <w:r>
            <w:fldChar w:fldCharType="begin"/>
          </w:r>
          <w:r>
            <w:instrText xml:space="preserve"> PAGEREF _xf55afn2c7d1 \h </w:instrText>
          </w:r>
          <w:r>
            <w:fldChar w:fldCharType="separate"/>
          </w:r>
          <w:r>
            <w:rPr>
              <w:b/>
              <w:color w:val="1155CC"/>
              <w:u w:val="single"/>
            </w:rPr>
            <w:t>36</w:t>
          </w:r>
          <w:r>
            <w:fldChar w:fldCharType="end"/>
          </w:r>
          <w:r>
            <w:fldChar w:fldCharType="end"/>
          </w:r>
        </w:p>
      </w:sdtContent>
    </w:sdt>
    <w:p w14:paraId="178E5B65" w14:textId="77777777" w:rsidR="004E6B93" w:rsidRDefault="004E6B93">
      <w:pPr>
        <w:pStyle w:val="Heading1"/>
        <w:pBdr>
          <w:top w:val="nil"/>
          <w:left w:val="nil"/>
          <w:bottom w:val="nil"/>
          <w:right w:val="nil"/>
          <w:between w:val="nil"/>
        </w:pBdr>
        <w:rPr>
          <w:color w:val="38761D"/>
        </w:rPr>
      </w:pPr>
      <w:bookmarkStart w:id="2" w:name="_csbwtor7zwba" w:colFirst="0" w:colLast="0"/>
      <w:bookmarkEnd w:id="2"/>
    </w:p>
    <w:p w14:paraId="4B54F50D" w14:textId="77777777" w:rsidR="004E6B93" w:rsidRDefault="0078359C">
      <w:pPr>
        <w:pStyle w:val="Heading1"/>
        <w:pBdr>
          <w:top w:val="nil"/>
          <w:left w:val="nil"/>
          <w:bottom w:val="nil"/>
          <w:right w:val="nil"/>
          <w:between w:val="nil"/>
        </w:pBdr>
        <w:rPr>
          <w:color w:val="CC0000"/>
        </w:rPr>
      </w:pPr>
      <w:bookmarkStart w:id="3" w:name="_s0xa9kh7ayno" w:colFirst="0" w:colLast="0"/>
      <w:bookmarkEnd w:id="3"/>
      <w:r>
        <w:rPr>
          <w:color w:val="38761D"/>
        </w:rPr>
        <w:t xml:space="preserve">Motivation </w:t>
      </w:r>
    </w:p>
    <w:p w14:paraId="1549D8E1" w14:textId="77777777" w:rsidR="004E6B93" w:rsidRDefault="004E6B93">
      <w:pPr>
        <w:pBdr>
          <w:top w:val="nil"/>
          <w:left w:val="nil"/>
          <w:bottom w:val="nil"/>
          <w:right w:val="nil"/>
          <w:between w:val="nil"/>
        </w:pBdr>
        <w:jc w:val="both"/>
      </w:pPr>
    </w:p>
    <w:p w14:paraId="4D11EB75" w14:textId="77777777" w:rsidR="004E6B93" w:rsidRDefault="0078359C">
      <w:pPr>
        <w:jc w:val="both"/>
      </w:pPr>
      <w:r>
        <w:t>In several backtests we faced the following conclusion: we had a higher PV for a given portfolio if we had chosen a more frequent rebalance period. One may think that these</w:t>
      </w:r>
      <w:r>
        <w:t xml:space="preserve"> results are against our expectations. Let’s consider the following example: we have 10 stocks, one of them is a dying one: loses 15% from its value in each period. The prices of the other nine remain flat. If we never rebalance this portfolio then we will</w:t>
      </w:r>
      <w:r>
        <w:t xml:space="preserve"> lose only 10%. If we do a rebalance in every period (which is a mean reversion style strategy), then in the long term, we will lose all of our money. </w:t>
      </w:r>
      <w:proofErr w:type="gramStart"/>
      <w:r>
        <w:t>So</w:t>
      </w:r>
      <w:proofErr w:type="gramEnd"/>
      <w:r>
        <w:t xml:space="preserve"> in this simple example more frequent rebalance leads to a worse result. Can we say something in genera</w:t>
      </w:r>
      <w:r>
        <w:t xml:space="preserve">l? </w:t>
      </w:r>
    </w:p>
    <w:p w14:paraId="4382B86D" w14:textId="77777777" w:rsidR="004E6B93" w:rsidRDefault="004E6B93">
      <w:pPr>
        <w:jc w:val="both"/>
      </w:pPr>
    </w:p>
    <w:p w14:paraId="08EA0E09" w14:textId="77777777" w:rsidR="004E6B93" w:rsidRDefault="0078359C">
      <w:pPr>
        <w:pStyle w:val="Heading1"/>
        <w:rPr>
          <w:color w:val="38761D"/>
        </w:rPr>
      </w:pPr>
      <w:bookmarkStart w:id="4" w:name="_30rae0sx5up3" w:colFirst="0" w:colLast="0"/>
      <w:bookmarkEnd w:id="4"/>
      <w:r>
        <w:rPr>
          <w:color w:val="38761D"/>
        </w:rPr>
        <w:t>Used data</w:t>
      </w:r>
    </w:p>
    <w:p w14:paraId="162919FB" w14:textId="77777777" w:rsidR="004E6B93" w:rsidRDefault="004E6B93"/>
    <w:p w14:paraId="41D67A31" w14:textId="77777777" w:rsidR="004E6B93" w:rsidRDefault="0078359C">
      <w:pPr>
        <w:jc w:val="both"/>
      </w:pPr>
      <w:r>
        <w:t>For creating random groups based on real life data I used daily adjusted closing prices for more than 2700 stocks that were all in-force between 2002-12-31 and 2018-12-31.</w:t>
      </w:r>
    </w:p>
    <w:p w14:paraId="5C1A72A1" w14:textId="77777777" w:rsidR="004E6B93" w:rsidRDefault="004E6B93"/>
    <w:p w14:paraId="7DAC799A" w14:textId="77777777" w:rsidR="004E6B93" w:rsidRDefault="0078359C">
      <w:pPr>
        <w:pStyle w:val="Heading1"/>
        <w:jc w:val="both"/>
        <w:rPr>
          <w:color w:val="38761D"/>
        </w:rPr>
      </w:pPr>
      <w:bookmarkStart w:id="5" w:name="_eywebzmwjplw" w:colFirst="0" w:colLast="0"/>
      <w:bookmarkEnd w:id="5"/>
      <w:r>
        <w:br w:type="page"/>
      </w:r>
    </w:p>
    <w:p w14:paraId="5CC21775" w14:textId="77777777" w:rsidR="004E6B93" w:rsidRDefault="0078359C">
      <w:pPr>
        <w:pStyle w:val="Heading1"/>
        <w:jc w:val="both"/>
        <w:rPr>
          <w:color w:val="38761D"/>
        </w:rPr>
      </w:pPr>
      <w:bookmarkStart w:id="6" w:name="_4h4mx9ngarwf" w:colFirst="0" w:colLast="0"/>
      <w:bookmarkEnd w:id="6"/>
      <w:r>
        <w:rPr>
          <w:color w:val="38761D"/>
        </w:rPr>
        <w:lastRenderedPageBreak/>
        <w:t>Our Current Results</w:t>
      </w:r>
    </w:p>
    <w:p w14:paraId="1D0ACFED" w14:textId="77777777" w:rsidR="004E6B93" w:rsidRDefault="0078359C">
      <w:pPr>
        <w:pStyle w:val="Heading2"/>
        <w:jc w:val="both"/>
        <w:rPr>
          <w:color w:val="CC0000"/>
        </w:rPr>
      </w:pPr>
      <w:bookmarkStart w:id="7" w:name="_ktkm6y4zzelf" w:colFirst="0" w:colLast="0"/>
      <w:bookmarkEnd w:id="7"/>
      <w:r>
        <w:rPr>
          <w:color w:val="CC0000"/>
        </w:rPr>
        <w:t>The simple case</w:t>
      </w:r>
    </w:p>
    <w:p w14:paraId="42D78A91" w14:textId="77777777" w:rsidR="004E6B93" w:rsidRDefault="004E6B93">
      <w:pPr>
        <w:jc w:val="both"/>
      </w:pPr>
    </w:p>
    <w:p w14:paraId="61EBC3DA" w14:textId="77777777" w:rsidR="004E6B93" w:rsidRDefault="0078359C">
      <w:pPr>
        <w:jc w:val="both"/>
      </w:pPr>
      <w:r>
        <w:t>First things first: we have good news and ba</w:t>
      </w:r>
      <w:r>
        <w:t>d news.</w:t>
      </w:r>
    </w:p>
    <w:p w14:paraId="2CC5609B" w14:textId="77777777" w:rsidR="004E6B93" w:rsidRDefault="004E6B93">
      <w:pPr>
        <w:jc w:val="both"/>
      </w:pPr>
    </w:p>
    <w:p w14:paraId="2B17EF0E" w14:textId="77777777" w:rsidR="004E6B93" w:rsidRDefault="0078359C">
      <w:pPr>
        <w:jc w:val="both"/>
      </w:pPr>
      <w:r>
        <w:t xml:space="preserve">Good news is that </w:t>
      </w:r>
      <w:r>
        <w:rPr>
          <w:b/>
        </w:rPr>
        <w:t>our backtests</w:t>
      </w:r>
      <w:r>
        <w:t xml:space="preserve"> seem to be </w:t>
      </w:r>
      <w:r>
        <w:rPr>
          <w:b/>
        </w:rPr>
        <w:t>correct</w:t>
      </w:r>
      <w:r>
        <w:t xml:space="preserve">. In THOSE </w:t>
      </w:r>
      <w:proofErr w:type="gramStart"/>
      <w:r>
        <w:t>cases</w:t>
      </w:r>
      <w:proofErr w:type="gramEnd"/>
      <w:r>
        <w:t xml:space="preserve"> daily rebalance indeed leads to a better result.</w:t>
      </w:r>
    </w:p>
    <w:p w14:paraId="503AB045" w14:textId="77777777" w:rsidR="004E6B93" w:rsidRDefault="004E6B93">
      <w:pPr>
        <w:jc w:val="both"/>
      </w:pPr>
    </w:p>
    <w:p w14:paraId="76892C24" w14:textId="77777777" w:rsidR="004E6B93" w:rsidRDefault="0078359C">
      <w:pPr>
        <w:jc w:val="both"/>
      </w:pPr>
      <w:r>
        <w:t xml:space="preserve">Bad news is that </w:t>
      </w:r>
      <w:r>
        <w:rPr>
          <w:b/>
        </w:rPr>
        <w:t xml:space="preserve">there isn’t any </w:t>
      </w:r>
      <w:r>
        <w:t>exact</w:t>
      </w:r>
      <w:r>
        <w:rPr>
          <w:b/>
        </w:rPr>
        <w:t xml:space="preserve"> general rule</w:t>
      </w:r>
      <w:r>
        <w:t>. Let’s see in details.</w:t>
      </w:r>
    </w:p>
    <w:p w14:paraId="076F628F" w14:textId="77777777" w:rsidR="004E6B93" w:rsidRDefault="004E6B93">
      <w:pPr>
        <w:jc w:val="both"/>
      </w:pPr>
    </w:p>
    <w:p w14:paraId="5724B6A1" w14:textId="77777777" w:rsidR="004E6B93" w:rsidRDefault="0078359C">
      <w:pPr>
        <w:jc w:val="both"/>
      </w:pPr>
      <w:r>
        <w:t>At first step consider the following simple (more prec</w:t>
      </w:r>
      <w:r>
        <w:t xml:space="preserve">isely: the </w:t>
      </w:r>
      <w:proofErr w:type="gramStart"/>
      <w:r>
        <w:t>most simple</w:t>
      </w:r>
      <w:proofErr w:type="gramEnd"/>
      <w:r>
        <w:t>) example: we have two stocks (A and B) and two periods. Let denote the earned yields by a</w:t>
      </w:r>
      <w:r>
        <w:rPr>
          <w:vertAlign w:val="subscript"/>
        </w:rPr>
        <w:t>1</w:t>
      </w:r>
      <w:r>
        <w:t>, a</w:t>
      </w:r>
      <w:r>
        <w:rPr>
          <w:vertAlign w:val="subscript"/>
        </w:rPr>
        <w:t>2</w:t>
      </w:r>
      <w:r>
        <w:t>, b</w:t>
      </w:r>
      <w:r>
        <w:rPr>
          <w:vertAlign w:val="subscript"/>
        </w:rPr>
        <w:t>1</w:t>
      </w:r>
      <w:r>
        <w:t>, b</w:t>
      </w:r>
      <w:r>
        <w:rPr>
          <w:vertAlign w:val="subscript"/>
        </w:rPr>
        <w:t>2</w:t>
      </w:r>
      <w:r>
        <w:t xml:space="preserve"> respectively. </w:t>
      </w:r>
    </w:p>
    <w:p w14:paraId="367F1E8C" w14:textId="77777777" w:rsidR="004E6B93" w:rsidRDefault="004E6B93">
      <w:pPr>
        <w:jc w:val="both"/>
      </w:pPr>
    </w:p>
    <w:p w14:paraId="45C3B574" w14:textId="77777777" w:rsidR="004E6B93" w:rsidRDefault="0078359C">
      <w:pPr>
        <w:jc w:val="both"/>
      </w:pPr>
      <w:r>
        <w:t xml:space="preserve">If we invest $1 in the beginning then we have two possibilities: </w:t>
      </w:r>
    </w:p>
    <w:p w14:paraId="0014FFC2" w14:textId="77777777" w:rsidR="004E6B93" w:rsidRDefault="0078359C">
      <w:pPr>
        <w:numPr>
          <w:ilvl w:val="0"/>
          <w:numId w:val="8"/>
        </w:numPr>
        <w:jc w:val="both"/>
      </w:pPr>
      <w:r>
        <w:t>rebalance (i.e. buy 50%-50% from each stock) onl</w:t>
      </w:r>
      <w:r>
        <w:t xml:space="preserve">y before the first period (Rare case) or </w:t>
      </w:r>
    </w:p>
    <w:p w14:paraId="40A45612" w14:textId="77777777" w:rsidR="004E6B93" w:rsidRDefault="0078359C">
      <w:pPr>
        <w:numPr>
          <w:ilvl w:val="0"/>
          <w:numId w:val="8"/>
        </w:numPr>
        <w:jc w:val="both"/>
      </w:pPr>
      <w:r>
        <w:t>rebalance before both periods (Frequent case).</w:t>
      </w:r>
    </w:p>
    <w:p w14:paraId="7B86CAE7" w14:textId="77777777" w:rsidR="004E6B93" w:rsidRDefault="004E6B93">
      <w:pPr>
        <w:jc w:val="both"/>
      </w:pPr>
    </w:p>
    <w:tbl>
      <w:tblPr>
        <w:tblStyle w:val="a"/>
        <w:tblW w:w="3330" w:type="dxa"/>
        <w:tblInd w:w="2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110"/>
        <w:gridCol w:w="1110"/>
      </w:tblGrid>
      <w:tr w:rsidR="004E6B93" w14:paraId="3E5CC123" w14:textId="77777777">
        <w:tc>
          <w:tcPr>
            <w:tcW w:w="1110" w:type="dxa"/>
            <w:shd w:val="clear" w:color="auto" w:fill="auto"/>
            <w:tcMar>
              <w:top w:w="100" w:type="dxa"/>
              <w:left w:w="100" w:type="dxa"/>
              <w:bottom w:w="100" w:type="dxa"/>
              <w:right w:w="100" w:type="dxa"/>
            </w:tcMar>
          </w:tcPr>
          <w:p w14:paraId="7D22E9A3" w14:textId="77777777" w:rsidR="004E6B93" w:rsidRDefault="0078359C">
            <w:pPr>
              <w:widowControl w:val="0"/>
              <w:pBdr>
                <w:top w:val="nil"/>
                <w:left w:val="nil"/>
                <w:bottom w:val="nil"/>
                <w:right w:val="nil"/>
                <w:between w:val="nil"/>
              </w:pBdr>
              <w:spacing w:line="240" w:lineRule="auto"/>
              <w:jc w:val="center"/>
              <w:rPr>
                <w:sz w:val="18"/>
                <w:szCs w:val="18"/>
              </w:rPr>
            </w:pPr>
            <w:r>
              <w:rPr>
                <w:sz w:val="18"/>
                <w:szCs w:val="18"/>
              </w:rPr>
              <w:t>%changes</w:t>
            </w:r>
          </w:p>
        </w:tc>
        <w:tc>
          <w:tcPr>
            <w:tcW w:w="1110" w:type="dxa"/>
            <w:shd w:val="clear" w:color="auto" w:fill="auto"/>
            <w:tcMar>
              <w:top w:w="100" w:type="dxa"/>
              <w:left w:w="100" w:type="dxa"/>
              <w:bottom w:w="100" w:type="dxa"/>
              <w:right w:w="100" w:type="dxa"/>
            </w:tcMar>
          </w:tcPr>
          <w:p w14:paraId="3F6A1DCE" w14:textId="77777777" w:rsidR="004E6B93" w:rsidRDefault="0078359C">
            <w:pPr>
              <w:widowControl w:val="0"/>
              <w:pBdr>
                <w:top w:val="nil"/>
                <w:left w:val="nil"/>
                <w:bottom w:val="nil"/>
                <w:right w:val="nil"/>
                <w:between w:val="nil"/>
              </w:pBdr>
              <w:spacing w:line="240" w:lineRule="auto"/>
              <w:jc w:val="center"/>
            </w:pPr>
            <w:r>
              <w:t>Stock A</w:t>
            </w:r>
          </w:p>
        </w:tc>
        <w:tc>
          <w:tcPr>
            <w:tcW w:w="1110" w:type="dxa"/>
            <w:shd w:val="clear" w:color="auto" w:fill="auto"/>
            <w:tcMar>
              <w:top w:w="100" w:type="dxa"/>
              <w:left w:w="100" w:type="dxa"/>
              <w:bottom w:w="100" w:type="dxa"/>
              <w:right w:w="100" w:type="dxa"/>
            </w:tcMar>
          </w:tcPr>
          <w:p w14:paraId="650650F5" w14:textId="77777777" w:rsidR="004E6B93" w:rsidRDefault="0078359C">
            <w:pPr>
              <w:widowControl w:val="0"/>
              <w:spacing w:line="240" w:lineRule="auto"/>
              <w:jc w:val="center"/>
            </w:pPr>
            <w:r>
              <w:t>Stock B</w:t>
            </w:r>
          </w:p>
        </w:tc>
      </w:tr>
      <w:tr w:rsidR="004E6B93" w14:paraId="3E751F14" w14:textId="77777777">
        <w:tc>
          <w:tcPr>
            <w:tcW w:w="1110" w:type="dxa"/>
            <w:shd w:val="clear" w:color="auto" w:fill="auto"/>
            <w:tcMar>
              <w:top w:w="100" w:type="dxa"/>
              <w:left w:w="100" w:type="dxa"/>
              <w:bottom w:w="100" w:type="dxa"/>
              <w:right w:w="100" w:type="dxa"/>
            </w:tcMar>
          </w:tcPr>
          <w:p w14:paraId="076A3868" w14:textId="77777777" w:rsidR="004E6B93" w:rsidRDefault="0078359C">
            <w:pPr>
              <w:widowControl w:val="0"/>
              <w:pBdr>
                <w:top w:val="nil"/>
                <w:left w:val="nil"/>
                <w:bottom w:val="nil"/>
                <w:right w:val="nil"/>
                <w:between w:val="nil"/>
              </w:pBdr>
              <w:spacing w:line="240" w:lineRule="auto"/>
              <w:jc w:val="center"/>
              <w:rPr>
                <w:vertAlign w:val="subscript"/>
              </w:rPr>
            </w:pPr>
            <w:r>
              <w:t>period</w:t>
            </w:r>
            <w:r>
              <w:rPr>
                <w:vertAlign w:val="subscript"/>
              </w:rPr>
              <w:t>1</w:t>
            </w:r>
          </w:p>
        </w:tc>
        <w:tc>
          <w:tcPr>
            <w:tcW w:w="1110" w:type="dxa"/>
            <w:shd w:val="clear" w:color="auto" w:fill="auto"/>
            <w:tcMar>
              <w:top w:w="100" w:type="dxa"/>
              <w:left w:w="100" w:type="dxa"/>
              <w:bottom w:w="100" w:type="dxa"/>
              <w:right w:w="100" w:type="dxa"/>
            </w:tcMar>
          </w:tcPr>
          <w:p w14:paraId="11029559" w14:textId="77777777" w:rsidR="004E6B93" w:rsidRDefault="0078359C">
            <w:pPr>
              <w:jc w:val="center"/>
            </w:pPr>
            <w:r>
              <w:t>a</w:t>
            </w:r>
            <w:r>
              <w:rPr>
                <w:vertAlign w:val="subscript"/>
              </w:rPr>
              <w:t>1</w:t>
            </w:r>
          </w:p>
        </w:tc>
        <w:tc>
          <w:tcPr>
            <w:tcW w:w="1110" w:type="dxa"/>
            <w:shd w:val="clear" w:color="auto" w:fill="auto"/>
            <w:tcMar>
              <w:top w:w="100" w:type="dxa"/>
              <w:left w:w="100" w:type="dxa"/>
              <w:bottom w:w="100" w:type="dxa"/>
              <w:right w:w="100" w:type="dxa"/>
            </w:tcMar>
          </w:tcPr>
          <w:p w14:paraId="2B282736" w14:textId="77777777" w:rsidR="004E6B93" w:rsidRDefault="0078359C">
            <w:pPr>
              <w:jc w:val="center"/>
            </w:pPr>
            <w:r>
              <w:t>b</w:t>
            </w:r>
            <w:r>
              <w:rPr>
                <w:vertAlign w:val="subscript"/>
              </w:rPr>
              <w:t>1</w:t>
            </w:r>
          </w:p>
        </w:tc>
      </w:tr>
      <w:tr w:rsidR="004E6B93" w14:paraId="65810F35" w14:textId="77777777">
        <w:tc>
          <w:tcPr>
            <w:tcW w:w="1110" w:type="dxa"/>
            <w:shd w:val="clear" w:color="auto" w:fill="auto"/>
            <w:tcMar>
              <w:top w:w="100" w:type="dxa"/>
              <w:left w:w="100" w:type="dxa"/>
              <w:bottom w:w="100" w:type="dxa"/>
              <w:right w:w="100" w:type="dxa"/>
            </w:tcMar>
          </w:tcPr>
          <w:p w14:paraId="2E3621A7" w14:textId="77777777" w:rsidR="004E6B93" w:rsidRDefault="0078359C">
            <w:pPr>
              <w:widowControl w:val="0"/>
              <w:spacing w:line="240" w:lineRule="auto"/>
              <w:jc w:val="center"/>
            </w:pPr>
            <w:r>
              <w:t>period</w:t>
            </w:r>
            <w:r>
              <w:rPr>
                <w:vertAlign w:val="subscript"/>
              </w:rPr>
              <w:t>2</w:t>
            </w:r>
          </w:p>
        </w:tc>
        <w:tc>
          <w:tcPr>
            <w:tcW w:w="1110" w:type="dxa"/>
            <w:shd w:val="clear" w:color="auto" w:fill="auto"/>
            <w:tcMar>
              <w:top w:w="100" w:type="dxa"/>
              <w:left w:w="100" w:type="dxa"/>
              <w:bottom w:w="100" w:type="dxa"/>
              <w:right w:w="100" w:type="dxa"/>
            </w:tcMar>
          </w:tcPr>
          <w:p w14:paraId="6DB5BFE8" w14:textId="77777777" w:rsidR="004E6B93" w:rsidRDefault="0078359C">
            <w:pPr>
              <w:jc w:val="center"/>
            </w:pPr>
            <w:r>
              <w:t>a</w:t>
            </w:r>
            <w:r>
              <w:rPr>
                <w:vertAlign w:val="subscript"/>
              </w:rPr>
              <w:t>2</w:t>
            </w:r>
          </w:p>
        </w:tc>
        <w:tc>
          <w:tcPr>
            <w:tcW w:w="1110" w:type="dxa"/>
            <w:shd w:val="clear" w:color="auto" w:fill="auto"/>
            <w:tcMar>
              <w:top w:w="100" w:type="dxa"/>
              <w:left w:w="100" w:type="dxa"/>
              <w:bottom w:w="100" w:type="dxa"/>
              <w:right w:w="100" w:type="dxa"/>
            </w:tcMar>
          </w:tcPr>
          <w:p w14:paraId="709028FB" w14:textId="77777777" w:rsidR="004E6B93" w:rsidRDefault="0078359C">
            <w:pPr>
              <w:jc w:val="center"/>
            </w:pPr>
            <w:r>
              <w:t>b</w:t>
            </w:r>
            <w:r>
              <w:rPr>
                <w:vertAlign w:val="subscript"/>
              </w:rPr>
              <w:t>2</w:t>
            </w:r>
          </w:p>
        </w:tc>
      </w:tr>
    </w:tbl>
    <w:p w14:paraId="23313EFF" w14:textId="77777777" w:rsidR="004E6B93" w:rsidRDefault="004E6B93">
      <w:pPr>
        <w:jc w:val="both"/>
      </w:pPr>
    </w:p>
    <w:p w14:paraId="334A6ED7" w14:textId="77777777" w:rsidR="004E6B93" w:rsidRDefault="004E6B93">
      <w:pPr>
        <w:jc w:val="both"/>
      </w:pPr>
    </w:p>
    <w:p w14:paraId="498AFC68" w14:textId="77777777" w:rsidR="004E6B93" w:rsidRDefault="0078359C">
      <w:pPr>
        <w:jc w:val="both"/>
      </w:pPr>
      <w:r>
        <w:t>What will be our result in each case and which one will be higher?</w:t>
      </w:r>
    </w:p>
    <w:p w14:paraId="7401F480" w14:textId="77777777" w:rsidR="004E6B93" w:rsidRDefault="004E6B93">
      <w:pPr>
        <w:jc w:val="both"/>
      </w:pPr>
    </w:p>
    <w:tbl>
      <w:tblPr>
        <w:tblStyle w:val="a0"/>
        <w:tblW w:w="10755"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380"/>
        <w:gridCol w:w="1380"/>
        <w:gridCol w:w="1380"/>
        <w:gridCol w:w="1380"/>
        <w:gridCol w:w="1380"/>
        <w:gridCol w:w="2040"/>
      </w:tblGrid>
      <w:tr w:rsidR="004E6B93" w14:paraId="46263258" w14:textId="77777777">
        <w:trPr>
          <w:trHeight w:val="420"/>
        </w:trPr>
        <w:tc>
          <w:tcPr>
            <w:tcW w:w="1815" w:type="dxa"/>
            <w:shd w:val="clear" w:color="auto" w:fill="auto"/>
            <w:tcMar>
              <w:top w:w="100" w:type="dxa"/>
              <w:left w:w="100" w:type="dxa"/>
              <w:bottom w:w="100" w:type="dxa"/>
              <w:right w:w="100" w:type="dxa"/>
            </w:tcMar>
          </w:tcPr>
          <w:p w14:paraId="0A0DC0B9" w14:textId="77777777" w:rsidR="004E6B93" w:rsidRDefault="004E6B93">
            <w:pPr>
              <w:widowControl w:val="0"/>
              <w:spacing w:line="240" w:lineRule="auto"/>
              <w:jc w:val="center"/>
              <w:rPr>
                <w:sz w:val="18"/>
                <w:szCs w:val="18"/>
              </w:rPr>
            </w:pPr>
          </w:p>
        </w:tc>
        <w:tc>
          <w:tcPr>
            <w:tcW w:w="4140" w:type="dxa"/>
            <w:gridSpan w:val="3"/>
            <w:shd w:val="clear" w:color="auto" w:fill="auto"/>
            <w:tcMar>
              <w:top w:w="100" w:type="dxa"/>
              <w:left w:w="100" w:type="dxa"/>
              <w:bottom w:w="100" w:type="dxa"/>
              <w:right w:w="100" w:type="dxa"/>
            </w:tcMar>
          </w:tcPr>
          <w:p w14:paraId="4CA7342D" w14:textId="77777777" w:rsidR="004E6B93" w:rsidRDefault="0078359C">
            <w:pPr>
              <w:widowControl w:val="0"/>
              <w:spacing w:line="240" w:lineRule="auto"/>
              <w:jc w:val="center"/>
            </w:pPr>
            <w:r>
              <w:t>Frequent case</w:t>
            </w:r>
          </w:p>
        </w:tc>
        <w:tc>
          <w:tcPr>
            <w:tcW w:w="4800" w:type="dxa"/>
            <w:gridSpan w:val="3"/>
            <w:shd w:val="clear" w:color="auto" w:fill="auto"/>
            <w:tcMar>
              <w:top w:w="100" w:type="dxa"/>
              <w:left w:w="100" w:type="dxa"/>
              <w:bottom w:w="100" w:type="dxa"/>
              <w:right w:w="100" w:type="dxa"/>
            </w:tcMar>
          </w:tcPr>
          <w:p w14:paraId="45897A50" w14:textId="77777777" w:rsidR="004E6B93" w:rsidRDefault="0078359C">
            <w:pPr>
              <w:widowControl w:val="0"/>
              <w:spacing w:line="240" w:lineRule="auto"/>
              <w:jc w:val="center"/>
            </w:pPr>
            <w:r>
              <w:t>Rare case</w:t>
            </w:r>
          </w:p>
        </w:tc>
      </w:tr>
      <w:tr w:rsidR="004E6B93" w14:paraId="6D98602C" w14:textId="77777777">
        <w:tc>
          <w:tcPr>
            <w:tcW w:w="1815" w:type="dxa"/>
            <w:shd w:val="clear" w:color="auto" w:fill="auto"/>
            <w:tcMar>
              <w:top w:w="100" w:type="dxa"/>
              <w:left w:w="100" w:type="dxa"/>
              <w:bottom w:w="100" w:type="dxa"/>
              <w:right w:w="100" w:type="dxa"/>
            </w:tcMar>
          </w:tcPr>
          <w:p w14:paraId="4266274C" w14:textId="77777777" w:rsidR="004E6B93" w:rsidRDefault="004E6B93">
            <w:pPr>
              <w:widowControl w:val="0"/>
              <w:spacing w:line="240" w:lineRule="auto"/>
              <w:jc w:val="center"/>
              <w:rPr>
                <w:sz w:val="18"/>
                <w:szCs w:val="18"/>
              </w:rPr>
            </w:pPr>
          </w:p>
        </w:tc>
        <w:tc>
          <w:tcPr>
            <w:tcW w:w="1380" w:type="dxa"/>
            <w:shd w:val="clear" w:color="auto" w:fill="auto"/>
            <w:tcMar>
              <w:top w:w="100" w:type="dxa"/>
              <w:left w:w="100" w:type="dxa"/>
              <w:bottom w:w="100" w:type="dxa"/>
              <w:right w:w="100" w:type="dxa"/>
            </w:tcMar>
          </w:tcPr>
          <w:p w14:paraId="63FE5377" w14:textId="77777777" w:rsidR="004E6B93" w:rsidRDefault="0078359C">
            <w:pPr>
              <w:widowControl w:val="0"/>
              <w:spacing w:line="240" w:lineRule="auto"/>
              <w:jc w:val="center"/>
            </w:pPr>
            <w:r>
              <w:t>Stock A</w:t>
            </w:r>
          </w:p>
        </w:tc>
        <w:tc>
          <w:tcPr>
            <w:tcW w:w="1380" w:type="dxa"/>
            <w:shd w:val="clear" w:color="auto" w:fill="auto"/>
            <w:tcMar>
              <w:top w:w="100" w:type="dxa"/>
              <w:left w:w="100" w:type="dxa"/>
              <w:bottom w:w="100" w:type="dxa"/>
              <w:right w:w="100" w:type="dxa"/>
            </w:tcMar>
          </w:tcPr>
          <w:p w14:paraId="2ED4F9A9" w14:textId="77777777" w:rsidR="004E6B93" w:rsidRDefault="0078359C">
            <w:pPr>
              <w:widowControl w:val="0"/>
              <w:spacing w:line="240" w:lineRule="auto"/>
              <w:jc w:val="center"/>
            </w:pPr>
            <w:r>
              <w:t>Stock B</w:t>
            </w:r>
          </w:p>
        </w:tc>
        <w:tc>
          <w:tcPr>
            <w:tcW w:w="1380" w:type="dxa"/>
            <w:shd w:val="clear" w:color="auto" w:fill="auto"/>
            <w:tcMar>
              <w:top w:w="100" w:type="dxa"/>
              <w:left w:w="100" w:type="dxa"/>
              <w:bottom w:w="100" w:type="dxa"/>
              <w:right w:w="100" w:type="dxa"/>
            </w:tcMar>
          </w:tcPr>
          <w:p w14:paraId="3B7AA4C8" w14:textId="77777777" w:rsidR="004E6B93" w:rsidRDefault="0078359C">
            <w:pPr>
              <w:widowControl w:val="0"/>
              <w:spacing w:line="240" w:lineRule="auto"/>
              <w:jc w:val="center"/>
            </w:pPr>
            <w:r>
              <w:t>PV</w:t>
            </w:r>
          </w:p>
        </w:tc>
        <w:tc>
          <w:tcPr>
            <w:tcW w:w="1380" w:type="dxa"/>
            <w:shd w:val="clear" w:color="auto" w:fill="auto"/>
            <w:tcMar>
              <w:top w:w="100" w:type="dxa"/>
              <w:left w:w="100" w:type="dxa"/>
              <w:bottom w:w="100" w:type="dxa"/>
              <w:right w:w="100" w:type="dxa"/>
            </w:tcMar>
          </w:tcPr>
          <w:p w14:paraId="6B106512" w14:textId="77777777" w:rsidR="004E6B93" w:rsidRDefault="0078359C">
            <w:pPr>
              <w:widowControl w:val="0"/>
              <w:spacing w:line="240" w:lineRule="auto"/>
              <w:jc w:val="center"/>
            </w:pPr>
            <w:r>
              <w:t>Stock A</w:t>
            </w:r>
          </w:p>
        </w:tc>
        <w:tc>
          <w:tcPr>
            <w:tcW w:w="1380" w:type="dxa"/>
            <w:shd w:val="clear" w:color="auto" w:fill="auto"/>
            <w:tcMar>
              <w:top w:w="100" w:type="dxa"/>
              <w:left w:w="100" w:type="dxa"/>
              <w:bottom w:w="100" w:type="dxa"/>
              <w:right w:w="100" w:type="dxa"/>
            </w:tcMar>
          </w:tcPr>
          <w:p w14:paraId="6F024A43" w14:textId="77777777" w:rsidR="004E6B93" w:rsidRDefault="0078359C">
            <w:pPr>
              <w:widowControl w:val="0"/>
              <w:spacing w:line="240" w:lineRule="auto"/>
              <w:jc w:val="center"/>
            </w:pPr>
            <w:r>
              <w:t>Stock B</w:t>
            </w:r>
          </w:p>
        </w:tc>
        <w:tc>
          <w:tcPr>
            <w:tcW w:w="2040" w:type="dxa"/>
            <w:shd w:val="clear" w:color="auto" w:fill="auto"/>
            <w:tcMar>
              <w:top w:w="100" w:type="dxa"/>
              <w:left w:w="100" w:type="dxa"/>
              <w:bottom w:w="100" w:type="dxa"/>
              <w:right w:w="100" w:type="dxa"/>
            </w:tcMar>
          </w:tcPr>
          <w:p w14:paraId="45E7EDBE" w14:textId="77777777" w:rsidR="004E6B93" w:rsidRDefault="0078359C">
            <w:pPr>
              <w:widowControl w:val="0"/>
              <w:spacing w:line="240" w:lineRule="auto"/>
              <w:jc w:val="center"/>
            </w:pPr>
            <w:r>
              <w:t>PV</w:t>
            </w:r>
          </w:p>
        </w:tc>
      </w:tr>
      <w:tr w:rsidR="004E6B93" w14:paraId="4ACFB896" w14:textId="77777777">
        <w:tc>
          <w:tcPr>
            <w:tcW w:w="1815" w:type="dxa"/>
            <w:shd w:val="clear" w:color="auto" w:fill="auto"/>
            <w:tcMar>
              <w:top w:w="100" w:type="dxa"/>
              <w:left w:w="100" w:type="dxa"/>
              <w:bottom w:w="100" w:type="dxa"/>
              <w:right w:w="100" w:type="dxa"/>
            </w:tcMar>
            <w:vAlign w:val="center"/>
          </w:tcPr>
          <w:p w14:paraId="09AE6323" w14:textId="77777777" w:rsidR="004E6B93" w:rsidRDefault="0078359C">
            <w:pPr>
              <w:widowControl w:val="0"/>
              <w:spacing w:line="240" w:lineRule="auto"/>
              <w:rPr>
                <w:vertAlign w:val="subscript"/>
              </w:rPr>
            </w:pPr>
            <w:r>
              <w:t>before period</w:t>
            </w:r>
            <w:r>
              <w:rPr>
                <w:vertAlign w:val="subscript"/>
              </w:rPr>
              <w:t>1</w:t>
            </w:r>
          </w:p>
        </w:tc>
        <w:tc>
          <w:tcPr>
            <w:tcW w:w="1380" w:type="dxa"/>
            <w:shd w:val="clear" w:color="auto" w:fill="auto"/>
            <w:tcMar>
              <w:top w:w="100" w:type="dxa"/>
              <w:left w:w="100" w:type="dxa"/>
              <w:bottom w:w="100" w:type="dxa"/>
              <w:right w:w="100" w:type="dxa"/>
            </w:tcMar>
            <w:vAlign w:val="center"/>
          </w:tcPr>
          <w:p w14:paraId="021DDF9B" w14:textId="77777777" w:rsidR="004E6B93" w:rsidRDefault="0078359C">
            <w:pPr>
              <w:jc w:val="center"/>
              <w:rPr>
                <w:sz w:val="20"/>
                <w:szCs w:val="20"/>
              </w:rPr>
            </w:pPr>
            <m:oMathPara>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m:oMathPara>
          </w:p>
        </w:tc>
        <w:tc>
          <w:tcPr>
            <w:tcW w:w="1380" w:type="dxa"/>
            <w:shd w:val="clear" w:color="auto" w:fill="auto"/>
            <w:tcMar>
              <w:top w:w="100" w:type="dxa"/>
              <w:left w:w="100" w:type="dxa"/>
              <w:bottom w:w="100" w:type="dxa"/>
              <w:right w:w="100" w:type="dxa"/>
            </w:tcMar>
            <w:vAlign w:val="center"/>
          </w:tcPr>
          <w:p w14:paraId="4F17DF07" w14:textId="77777777" w:rsidR="004E6B93" w:rsidRDefault="0078359C">
            <w:pPr>
              <w:jc w:val="center"/>
              <w:rPr>
                <w:sz w:val="20"/>
                <w:szCs w:val="20"/>
              </w:rPr>
            </w:pPr>
            <m:oMathPara>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m:oMathPara>
          </w:p>
        </w:tc>
        <w:tc>
          <w:tcPr>
            <w:tcW w:w="1380" w:type="dxa"/>
            <w:shd w:val="clear" w:color="auto" w:fill="auto"/>
            <w:tcMar>
              <w:top w:w="100" w:type="dxa"/>
              <w:left w:w="100" w:type="dxa"/>
              <w:bottom w:w="100" w:type="dxa"/>
              <w:right w:w="100" w:type="dxa"/>
            </w:tcMar>
            <w:vAlign w:val="center"/>
          </w:tcPr>
          <w:p w14:paraId="61D3DF58" w14:textId="77777777" w:rsidR="004E6B93" w:rsidRDefault="0078359C">
            <w:pPr>
              <w:jc w:val="center"/>
              <w:rPr>
                <w:sz w:val="20"/>
                <w:szCs w:val="20"/>
              </w:rPr>
            </w:pPr>
            <w:r>
              <w:rPr>
                <w:sz w:val="20"/>
                <w:szCs w:val="20"/>
              </w:rPr>
              <w:t>1</w:t>
            </w:r>
          </w:p>
        </w:tc>
        <w:tc>
          <w:tcPr>
            <w:tcW w:w="1380" w:type="dxa"/>
            <w:shd w:val="clear" w:color="auto" w:fill="auto"/>
            <w:tcMar>
              <w:top w:w="100" w:type="dxa"/>
              <w:left w:w="100" w:type="dxa"/>
              <w:bottom w:w="100" w:type="dxa"/>
              <w:right w:w="100" w:type="dxa"/>
            </w:tcMar>
            <w:vAlign w:val="center"/>
          </w:tcPr>
          <w:p w14:paraId="182C0E9C" w14:textId="77777777" w:rsidR="004E6B93" w:rsidRDefault="0078359C">
            <w:pPr>
              <w:jc w:val="center"/>
              <w:rPr>
                <w:sz w:val="20"/>
                <w:szCs w:val="20"/>
              </w:rPr>
            </w:pPr>
            <m:oMathPara>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m:oMathPara>
          </w:p>
        </w:tc>
        <w:tc>
          <w:tcPr>
            <w:tcW w:w="1380" w:type="dxa"/>
            <w:shd w:val="clear" w:color="auto" w:fill="auto"/>
            <w:tcMar>
              <w:top w:w="100" w:type="dxa"/>
              <w:left w:w="100" w:type="dxa"/>
              <w:bottom w:w="100" w:type="dxa"/>
              <w:right w:w="100" w:type="dxa"/>
            </w:tcMar>
            <w:vAlign w:val="center"/>
          </w:tcPr>
          <w:p w14:paraId="6D392FC4" w14:textId="77777777" w:rsidR="004E6B93" w:rsidRDefault="0078359C">
            <w:pPr>
              <w:jc w:val="center"/>
              <w:rPr>
                <w:sz w:val="20"/>
                <w:szCs w:val="20"/>
              </w:rPr>
            </w:pPr>
            <m:oMathPara>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m:oMathPara>
          </w:p>
        </w:tc>
        <w:tc>
          <w:tcPr>
            <w:tcW w:w="2040" w:type="dxa"/>
            <w:shd w:val="clear" w:color="auto" w:fill="auto"/>
            <w:tcMar>
              <w:top w:w="100" w:type="dxa"/>
              <w:left w:w="100" w:type="dxa"/>
              <w:bottom w:w="100" w:type="dxa"/>
              <w:right w:w="100" w:type="dxa"/>
            </w:tcMar>
            <w:vAlign w:val="center"/>
          </w:tcPr>
          <w:p w14:paraId="45EA5BC7" w14:textId="77777777" w:rsidR="004E6B93" w:rsidRDefault="0078359C">
            <w:pPr>
              <w:jc w:val="center"/>
              <w:rPr>
                <w:sz w:val="20"/>
                <w:szCs w:val="20"/>
              </w:rPr>
            </w:pPr>
            <w:r>
              <w:rPr>
                <w:sz w:val="20"/>
                <w:szCs w:val="20"/>
              </w:rPr>
              <w:t>1</w:t>
            </w:r>
          </w:p>
        </w:tc>
      </w:tr>
      <w:tr w:rsidR="004E6B93" w14:paraId="345BEFE2" w14:textId="77777777">
        <w:tc>
          <w:tcPr>
            <w:tcW w:w="1815" w:type="dxa"/>
            <w:shd w:val="clear" w:color="auto" w:fill="auto"/>
            <w:tcMar>
              <w:top w:w="100" w:type="dxa"/>
              <w:left w:w="100" w:type="dxa"/>
              <w:bottom w:w="100" w:type="dxa"/>
              <w:right w:w="100" w:type="dxa"/>
            </w:tcMar>
            <w:vAlign w:val="center"/>
          </w:tcPr>
          <w:p w14:paraId="1DE91D6C" w14:textId="77777777" w:rsidR="004E6B93" w:rsidRDefault="0078359C">
            <w:pPr>
              <w:widowControl w:val="0"/>
              <w:spacing w:line="240" w:lineRule="auto"/>
            </w:pPr>
            <w:r>
              <w:t>after period</w:t>
            </w:r>
            <w:r>
              <w:rPr>
                <w:vertAlign w:val="subscript"/>
              </w:rPr>
              <w:t>1</w:t>
            </w:r>
          </w:p>
        </w:tc>
        <w:tc>
          <w:tcPr>
            <w:tcW w:w="1380" w:type="dxa"/>
            <w:shd w:val="clear" w:color="auto" w:fill="auto"/>
            <w:tcMar>
              <w:top w:w="100" w:type="dxa"/>
              <w:left w:w="100" w:type="dxa"/>
              <w:bottom w:w="100" w:type="dxa"/>
              <w:right w:w="100" w:type="dxa"/>
            </w:tcMar>
            <w:vAlign w:val="center"/>
          </w:tcPr>
          <w:p w14:paraId="131A844A" w14:textId="77777777" w:rsidR="004E6B93" w:rsidRDefault="0078359C">
            <w:pPr>
              <w:jc w:val="center"/>
              <w:rPr>
                <w:sz w:val="18"/>
                <w:szCs w:val="18"/>
              </w:rPr>
            </w:pPr>
            <w:r>
              <w:rPr>
                <w:sz w:val="18"/>
                <w:szCs w:val="18"/>
              </w:rPr>
              <w:t xml:space="preserve"> </w:t>
            </w: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 (1+</w:t>
            </w:r>
            <m:oMath>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1</m:t>
                  </m:r>
                </m:sub>
              </m:sSub>
            </m:oMath>
            <w:r>
              <w:rPr>
                <w:sz w:val="18"/>
                <w:szCs w:val="18"/>
              </w:rPr>
              <w:t>)</w:t>
            </w:r>
          </w:p>
        </w:tc>
        <w:tc>
          <w:tcPr>
            <w:tcW w:w="1380" w:type="dxa"/>
            <w:shd w:val="clear" w:color="auto" w:fill="auto"/>
            <w:tcMar>
              <w:top w:w="100" w:type="dxa"/>
              <w:left w:w="100" w:type="dxa"/>
              <w:bottom w:w="100" w:type="dxa"/>
              <w:right w:w="100" w:type="dxa"/>
            </w:tcMar>
            <w:vAlign w:val="center"/>
          </w:tcPr>
          <w:p w14:paraId="7B51CC5E" w14:textId="77777777" w:rsidR="004E6B93" w:rsidRDefault="0078359C">
            <w:pPr>
              <w:jc w:val="center"/>
              <w:rPr>
                <w:sz w:val="18"/>
                <w:szCs w:val="18"/>
              </w:rPr>
            </w:pP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 (1+</w:t>
            </w:r>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1</m:t>
                  </m:r>
                </m:sub>
              </m:sSub>
            </m:oMath>
            <w:r>
              <w:rPr>
                <w:sz w:val="18"/>
                <w:szCs w:val="18"/>
              </w:rPr>
              <w:t>)</w:t>
            </w:r>
          </w:p>
        </w:tc>
        <w:tc>
          <w:tcPr>
            <w:tcW w:w="1380" w:type="dxa"/>
            <w:shd w:val="clear" w:color="auto" w:fill="auto"/>
            <w:tcMar>
              <w:top w:w="100" w:type="dxa"/>
              <w:left w:w="100" w:type="dxa"/>
              <w:bottom w:w="100" w:type="dxa"/>
              <w:right w:w="100" w:type="dxa"/>
            </w:tcMar>
            <w:vAlign w:val="center"/>
          </w:tcPr>
          <w:p w14:paraId="0C1A28EA" w14:textId="77777777" w:rsidR="004E6B93" w:rsidRDefault="0078359C">
            <w:pPr>
              <w:jc w:val="center"/>
              <w:rPr>
                <w:sz w:val="18"/>
                <w:szCs w:val="18"/>
              </w:rPr>
            </w:pPr>
            <w:r>
              <w:rPr>
                <w:sz w:val="18"/>
                <w:szCs w:val="18"/>
              </w:rPr>
              <w:t>1+</w:t>
            </w:r>
            <m:oMath>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a</m:t>
                  </m:r>
                  <m:sSub>
                    <m:sSubPr>
                      <m:ctrlPr>
                        <w:rPr>
                          <w:rFonts w:ascii="Cambria Math" w:hAnsi="Cambria Math"/>
                          <w:sz w:val="18"/>
                          <w:szCs w:val="18"/>
                        </w:rPr>
                      </m:ctrlPr>
                    </m:sSubPr>
                    <m:e/>
                    <m:sub>
                      <m:r>
                        <w:rPr>
                          <w:rFonts w:ascii="Cambria Math" w:hAnsi="Cambria Math"/>
                          <w:sz w:val="18"/>
                          <w:szCs w:val="18"/>
                        </w:rPr>
                        <m:t>1</m:t>
                      </m:r>
                    </m:sub>
                  </m:sSub>
                  <m:r>
                    <w:rPr>
                      <w:rFonts w:ascii="Cambria Math" w:hAnsi="Cambria Math"/>
                      <w:sz w:val="18"/>
                      <w:szCs w:val="18"/>
                    </w:rPr>
                    <m:t>+</m:t>
                  </m:r>
                  <m:r>
                    <w:rPr>
                      <w:rFonts w:ascii="Cambria Math" w:hAnsi="Cambria Math"/>
                      <w:sz w:val="18"/>
                      <w:szCs w:val="18"/>
                    </w:rPr>
                    <m:t>b</m:t>
                  </m:r>
                  <m:sSub>
                    <m:sSubPr>
                      <m:ctrlPr>
                        <w:rPr>
                          <w:rFonts w:ascii="Cambria Math" w:hAnsi="Cambria Math"/>
                          <w:sz w:val="18"/>
                          <w:szCs w:val="18"/>
                        </w:rPr>
                      </m:ctrlPr>
                    </m:sSubPr>
                    <m:e/>
                    <m:sub>
                      <m:r>
                        <w:rPr>
                          <w:rFonts w:ascii="Cambria Math" w:hAnsi="Cambria Math"/>
                          <w:sz w:val="18"/>
                          <w:szCs w:val="18"/>
                        </w:rPr>
                        <m:t>1</m:t>
                      </m:r>
                    </m:sub>
                  </m:sSub>
                </m:num>
                <m:den>
                  <m:r>
                    <w:rPr>
                      <w:rFonts w:ascii="Cambria Math" w:hAnsi="Cambria Math"/>
                      <w:sz w:val="18"/>
                      <w:szCs w:val="18"/>
                    </w:rPr>
                    <m:t>2</m:t>
                  </m:r>
                </m:den>
              </m:f>
            </m:oMath>
            <w:r>
              <w:rPr>
                <w:sz w:val="18"/>
                <w:szCs w:val="18"/>
              </w:rPr>
              <w:t>)</w:t>
            </w:r>
          </w:p>
        </w:tc>
        <w:tc>
          <w:tcPr>
            <w:tcW w:w="1380" w:type="dxa"/>
            <w:shd w:val="clear" w:color="auto" w:fill="auto"/>
            <w:tcMar>
              <w:top w:w="100" w:type="dxa"/>
              <w:left w:w="100" w:type="dxa"/>
              <w:bottom w:w="100" w:type="dxa"/>
              <w:right w:w="100" w:type="dxa"/>
            </w:tcMar>
            <w:vAlign w:val="center"/>
          </w:tcPr>
          <w:p w14:paraId="62A048BC" w14:textId="77777777" w:rsidR="004E6B93" w:rsidRDefault="0078359C">
            <w:pPr>
              <w:jc w:val="center"/>
              <w:rPr>
                <w:sz w:val="18"/>
                <w:szCs w:val="18"/>
              </w:rPr>
            </w:pPr>
            <w:r>
              <w:rPr>
                <w:sz w:val="18"/>
                <w:szCs w:val="18"/>
              </w:rPr>
              <w:t xml:space="preserve"> </w:t>
            </w: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 (1+</w:t>
            </w:r>
            <m:oMath>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1</m:t>
                  </m:r>
                </m:sub>
              </m:sSub>
            </m:oMath>
            <w:r>
              <w:rPr>
                <w:sz w:val="18"/>
                <w:szCs w:val="18"/>
              </w:rPr>
              <w:t>)</w:t>
            </w:r>
          </w:p>
        </w:tc>
        <w:tc>
          <w:tcPr>
            <w:tcW w:w="1380" w:type="dxa"/>
            <w:shd w:val="clear" w:color="auto" w:fill="auto"/>
            <w:tcMar>
              <w:top w:w="100" w:type="dxa"/>
              <w:left w:w="100" w:type="dxa"/>
              <w:bottom w:w="100" w:type="dxa"/>
              <w:right w:w="100" w:type="dxa"/>
            </w:tcMar>
            <w:vAlign w:val="center"/>
          </w:tcPr>
          <w:p w14:paraId="3A134930" w14:textId="77777777" w:rsidR="004E6B93" w:rsidRDefault="0078359C">
            <w:pPr>
              <w:jc w:val="center"/>
              <w:rPr>
                <w:sz w:val="18"/>
                <w:szCs w:val="18"/>
              </w:rPr>
            </w:pP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 (1+</w:t>
            </w:r>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1</m:t>
                  </m:r>
                </m:sub>
              </m:sSub>
            </m:oMath>
            <w:r>
              <w:rPr>
                <w:sz w:val="18"/>
                <w:szCs w:val="18"/>
              </w:rPr>
              <w:t>)</w:t>
            </w:r>
          </w:p>
        </w:tc>
        <w:tc>
          <w:tcPr>
            <w:tcW w:w="2040" w:type="dxa"/>
            <w:shd w:val="clear" w:color="auto" w:fill="auto"/>
            <w:tcMar>
              <w:top w:w="100" w:type="dxa"/>
              <w:left w:w="100" w:type="dxa"/>
              <w:bottom w:w="100" w:type="dxa"/>
              <w:right w:w="100" w:type="dxa"/>
            </w:tcMar>
            <w:vAlign w:val="center"/>
          </w:tcPr>
          <w:p w14:paraId="10EB77B4" w14:textId="77777777" w:rsidR="004E6B93" w:rsidRDefault="0078359C">
            <w:pPr>
              <w:jc w:val="center"/>
              <w:rPr>
                <w:sz w:val="18"/>
                <w:szCs w:val="18"/>
              </w:rPr>
            </w:pPr>
            <w:r>
              <w:rPr>
                <w:sz w:val="18"/>
                <w:szCs w:val="18"/>
              </w:rPr>
              <w:t>1+</w:t>
            </w:r>
            <m:oMath>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a</m:t>
                  </m:r>
                  <m:sSub>
                    <m:sSubPr>
                      <m:ctrlPr>
                        <w:rPr>
                          <w:rFonts w:ascii="Cambria Math" w:hAnsi="Cambria Math"/>
                          <w:sz w:val="18"/>
                          <w:szCs w:val="18"/>
                        </w:rPr>
                      </m:ctrlPr>
                    </m:sSubPr>
                    <m:e/>
                    <m:sub>
                      <m:r>
                        <w:rPr>
                          <w:rFonts w:ascii="Cambria Math" w:hAnsi="Cambria Math"/>
                          <w:sz w:val="18"/>
                          <w:szCs w:val="18"/>
                        </w:rPr>
                        <m:t>1</m:t>
                      </m:r>
                    </m:sub>
                  </m:sSub>
                  <m:r>
                    <w:rPr>
                      <w:rFonts w:ascii="Cambria Math" w:hAnsi="Cambria Math"/>
                      <w:sz w:val="18"/>
                      <w:szCs w:val="18"/>
                    </w:rPr>
                    <m:t>+</m:t>
                  </m:r>
                  <m:r>
                    <w:rPr>
                      <w:rFonts w:ascii="Cambria Math" w:hAnsi="Cambria Math"/>
                      <w:sz w:val="18"/>
                      <w:szCs w:val="18"/>
                    </w:rPr>
                    <m:t>b</m:t>
                  </m:r>
                  <m:sSub>
                    <m:sSubPr>
                      <m:ctrlPr>
                        <w:rPr>
                          <w:rFonts w:ascii="Cambria Math" w:hAnsi="Cambria Math"/>
                          <w:sz w:val="18"/>
                          <w:szCs w:val="18"/>
                        </w:rPr>
                      </m:ctrlPr>
                    </m:sSubPr>
                    <m:e/>
                    <m:sub>
                      <m:r>
                        <w:rPr>
                          <w:rFonts w:ascii="Cambria Math" w:hAnsi="Cambria Math"/>
                          <w:sz w:val="18"/>
                          <w:szCs w:val="18"/>
                        </w:rPr>
                        <m:t>1</m:t>
                      </m:r>
                    </m:sub>
                  </m:sSub>
                </m:num>
                <m:den>
                  <m:r>
                    <w:rPr>
                      <w:rFonts w:ascii="Cambria Math" w:hAnsi="Cambria Math"/>
                      <w:sz w:val="18"/>
                      <w:szCs w:val="18"/>
                    </w:rPr>
                    <m:t>2</m:t>
                  </m:r>
                </m:den>
              </m:f>
            </m:oMath>
            <w:r>
              <w:rPr>
                <w:sz w:val="18"/>
                <w:szCs w:val="18"/>
              </w:rPr>
              <w:t>)</w:t>
            </w:r>
          </w:p>
        </w:tc>
      </w:tr>
      <w:tr w:rsidR="004E6B93" w14:paraId="1892D2F2" w14:textId="77777777">
        <w:tc>
          <w:tcPr>
            <w:tcW w:w="1815" w:type="dxa"/>
            <w:shd w:val="clear" w:color="auto" w:fill="auto"/>
            <w:tcMar>
              <w:top w:w="100" w:type="dxa"/>
              <w:left w:w="100" w:type="dxa"/>
              <w:bottom w:w="100" w:type="dxa"/>
              <w:right w:w="100" w:type="dxa"/>
            </w:tcMar>
            <w:vAlign w:val="center"/>
          </w:tcPr>
          <w:p w14:paraId="460E937B" w14:textId="77777777" w:rsidR="004E6B93" w:rsidRDefault="0078359C">
            <w:pPr>
              <w:widowControl w:val="0"/>
              <w:spacing w:line="240" w:lineRule="auto"/>
              <w:rPr>
                <w:vertAlign w:val="subscript"/>
              </w:rPr>
            </w:pPr>
            <w:r>
              <w:t>after rebalance = before period</w:t>
            </w:r>
            <w:r>
              <w:rPr>
                <w:vertAlign w:val="subscript"/>
              </w:rPr>
              <w:t>2</w:t>
            </w:r>
          </w:p>
        </w:tc>
        <w:tc>
          <w:tcPr>
            <w:tcW w:w="1380" w:type="dxa"/>
            <w:shd w:val="clear" w:color="auto" w:fill="auto"/>
            <w:tcMar>
              <w:top w:w="100" w:type="dxa"/>
              <w:left w:w="100" w:type="dxa"/>
              <w:bottom w:w="100" w:type="dxa"/>
              <w:right w:w="100" w:type="dxa"/>
            </w:tcMar>
            <w:vAlign w:val="center"/>
          </w:tcPr>
          <w:p w14:paraId="383CC27B" w14:textId="77777777" w:rsidR="004E6B93" w:rsidRDefault="0078359C">
            <w:pPr>
              <w:jc w:val="center"/>
              <w:rPr>
                <w:sz w:val="18"/>
                <w:szCs w:val="18"/>
              </w:rPr>
            </w:pP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w:t>
            </w:r>
            <m:oMath>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a</m:t>
                  </m:r>
                  <m:sSub>
                    <m:sSubPr>
                      <m:ctrlPr>
                        <w:rPr>
                          <w:rFonts w:ascii="Cambria Math" w:hAnsi="Cambria Math"/>
                          <w:sz w:val="18"/>
                          <w:szCs w:val="18"/>
                        </w:rPr>
                      </m:ctrlPr>
                    </m:sSubPr>
                    <m:e/>
                    <m:sub>
                      <m:r>
                        <w:rPr>
                          <w:rFonts w:ascii="Cambria Math" w:hAnsi="Cambria Math"/>
                          <w:sz w:val="18"/>
                          <w:szCs w:val="18"/>
                        </w:rPr>
                        <m:t>1</m:t>
                      </m:r>
                    </m:sub>
                  </m:sSub>
                  <m:r>
                    <w:rPr>
                      <w:rFonts w:ascii="Cambria Math" w:hAnsi="Cambria Math"/>
                      <w:sz w:val="18"/>
                      <w:szCs w:val="18"/>
                    </w:rPr>
                    <m:t>+</m:t>
                  </m:r>
                  <m:r>
                    <w:rPr>
                      <w:rFonts w:ascii="Cambria Math" w:hAnsi="Cambria Math"/>
                      <w:sz w:val="18"/>
                      <w:szCs w:val="18"/>
                    </w:rPr>
                    <m:t>b</m:t>
                  </m:r>
                  <m:sSub>
                    <m:sSubPr>
                      <m:ctrlPr>
                        <w:rPr>
                          <w:rFonts w:ascii="Cambria Math" w:hAnsi="Cambria Math"/>
                          <w:sz w:val="18"/>
                          <w:szCs w:val="18"/>
                        </w:rPr>
                      </m:ctrlPr>
                    </m:sSubPr>
                    <m:e/>
                    <m:sub>
                      <m:r>
                        <w:rPr>
                          <w:rFonts w:ascii="Cambria Math" w:hAnsi="Cambria Math"/>
                          <w:sz w:val="18"/>
                          <w:szCs w:val="18"/>
                        </w:rPr>
                        <m:t>1</m:t>
                      </m:r>
                    </m:sub>
                  </m:sSub>
                </m:num>
                <m:den>
                  <m:r>
                    <w:rPr>
                      <w:rFonts w:ascii="Cambria Math" w:hAnsi="Cambria Math"/>
                      <w:sz w:val="18"/>
                      <w:szCs w:val="18"/>
                    </w:rPr>
                    <m:t>4</m:t>
                  </m:r>
                </m:den>
              </m:f>
            </m:oMath>
            <w:r>
              <w:rPr>
                <w:sz w:val="18"/>
                <w:szCs w:val="18"/>
              </w:rPr>
              <w:t>)</w:t>
            </w:r>
          </w:p>
        </w:tc>
        <w:tc>
          <w:tcPr>
            <w:tcW w:w="1380" w:type="dxa"/>
            <w:shd w:val="clear" w:color="auto" w:fill="auto"/>
            <w:tcMar>
              <w:top w:w="100" w:type="dxa"/>
              <w:left w:w="100" w:type="dxa"/>
              <w:bottom w:w="100" w:type="dxa"/>
              <w:right w:w="100" w:type="dxa"/>
            </w:tcMar>
            <w:vAlign w:val="center"/>
          </w:tcPr>
          <w:p w14:paraId="0DFDB8A3" w14:textId="77777777" w:rsidR="004E6B93" w:rsidRDefault="0078359C">
            <w:pPr>
              <w:jc w:val="center"/>
              <w:rPr>
                <w:sz w:val="18"/>
                <w:szCs w:val="18"/>
              </w:rPr>
            </w:pP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w:t>
            </w:r>
            <m:oMath>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a</m:t>
                  </m:r>
                  <m:sSub>
                    <m:sSubPr>
                      <m:ctrlPr>
                        <w:rPr>
                          <w:rFonts w:ascii="Cambria Math" w:hAnsi="Cambria Math"/>
                          <w:sz w:val="18"/>
                          <w:szCs w:val="18"/>
                        </w:rPr>
                      </m:ctrlPr>
                    </m:sSubPr>
                    <m:e/>
                    <m:sub>
                      <m:r>
                        <w:rPr>
                          <w:rFonts w:ascii="Cambria Math" w:hAnsi="Cambria Math"/>
                          <w:sz w:val="18"/>
                          <w:szCs w:val="18"/>
                        </w:rPr>
                        <m:t>1</m:t>
                      </m:r>
                    </m:sub>
                  </m:sSub>
                  <m:r>
                    <w:rPr>
                      <w:rFonts w:ascii="Cambria Math" w:hAnsi="Cambria Math"/>
                      <w:sz w:val="18"/>
                      <w:szCs w:val="18"/>
                    </w:rPr>
                    <m:t>+</m:t>
                  </m:r>
                  <m:r>
                    <w:rPr>
                      <w:rFonts w:ascii="Cambria Math" w:hAnsi="Cambria Math"/>
                      <w:sz w:val="18"/>
                      <w:szCs w:val="18"/>
                    </w:rPr>
                    <m:t>b</m:t>
                  </m:r>
                  <m:sSub>
                    <m:sSubPr>
                      <m:ctrlPr>
                        <w:rPr>
                          <w:rFonts w:ascii="Cambria Math" w:hAnsi="Cambria Math"/>
                          <w:sz w:val="18"/>
                          <w:szCs w:val="18"/>
                        </w:rPr>
                      </m:ctrlPr>
                    </m:sSubPr>
                    <m:e/>
                    <m:sub>
                      <m:r>
                        <w:rPr>
                          <w:rFonts w:ascii="Cambria Math" w:hAnsi="Cambria Math"/>
                          <w:sz w:val="18"/>
                          <w:szCs w:val="18"/>
                        </w:rPr>
                        <m:t>1</m:t>
                      </m:r>
                    </m:sub>
                  </m:sSub>
                </m:num>
                <m:den>
                  <m:r>
                    <w:rPr>
                      <w:rFonts w:ascii="Cambria Math" w:hAnsi="Cambria Math"/>
                      <w:sz w:val="18"/>
                      <w:szCs w:val="18"/>
                    </w:rPr>
                    <m:t>4</m:t>
                  </m:r>
                </m:den>
              </m:f>
            </m:oMath>
            <w:r>
              <w:rPr>
                <w:sz w:val="18"/>
                <w:szCs w:val="18"/>
              </w:rPr>
              <w:t>)</w:t>
            </w:r>
          </w:p>
        </w:tc>
        <w:tc>
          <w:tcPr>
            <w:tcW w:w="1380" w:type="dxa"/>
            <w:shd w:val="clear" w:color="auto" w:fill="auto"/>
            <w:tcMar>
              <w:top w:w="100" w:type="dxa"/>
              <w:left w:w="100" w:type="dxa"/>
              <w:bottom w:w="100" w:type="dxa"/>
              <w:right w:w="100" w:type="dxa"/>
            </w:tcMar>
            <w:vAlign w:val="center"/>
          </w:tcPr>
          <w:p w14:paraId="59A0F16C" w14:textId="77777777" w:rsidR="004E6B93" w:rsidRDefault="0078359C">
            <w:pPr>
              <w:jc w:val="center"/>
              <w:rPr>
                <w:sz w:val="18"/>
                <w:szCs w:val="18"/>
              </w:rPr>
            </w:pPr>
            <w:r>
              <w:rPr>
                <w:sz w:val="18"/>
                <w:szCs w:val="18"/>
              </w:rPr>
              <w:t>1+</w:t>
            </w:r>
            <m:oMath>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a</m:t>
                  </m:r>
                  <m:sSub>
                    <m:sSubPr>
                      <m:ctrlPr>
                        <w:rPr>
                          <w:rFonts w:ascii="Cambria Math" w:hAnsi="Cambria Math"/>
                          <w:sz w:val="18"/>
                          <w:szCs w:val="18"/>
                        </w:rPr>
                      </m:ctrlPr>
                    </m:sSubPr>
                    <m:e/>
                    <m:sub>
                      <m:r>
                        <w:rPr>
                          <w:rFonts w:ascii="Cambria Math" w:hAnsi="Cambria Math"/>
                          <w:sz w:val="18"/>
                          <w:szCs w:val="18"/>
                        </w:rPr>
                        <m:t>1</m:t>
                      </m:r>
                    </m:sub>
                  </m:sSub>
                  <m:r>
                    <w:rPr>
                      <w:rFonts w:ascii="Cambria Math" w:hAnsi="Cambria Math"/>
                      <w:sz w:val="18"/>
                      <w:szCs w:val="18"/>
                    </w:rPr>
                    <m:t>+</m:t>
                  </m:r>
                  <m:r>
                    <w:rPr>
                      <w:rFonts w:ascii="Cambria Math" w:hAnsi="Cambria Math"/>
                      <w:sz w:val="18"/>
                      <w:szCs w:val="18"/>
                    </w:rPr>
                    <m:t>b</m:t>
                  </m:r>
                  <m:sSub>
                    <m:sSubPr>
                      <m:ctrlPr>
                        <w:rPr>
                          <w:rFonts w:ascii="Cambria Math" w:hAnsi="Cambria Math"/>
                          <w:sz w:val="18"/>
                          <w:szCs w:val="18"/>
                        </w:rPr>
                      </m:ctrlPr>
                    </m:sSubPr>
                    <m:e/>
                    <m:sub>
                      <m:r>
                        <w:rPr>
                          <w:rFonts w:ascii="Cambria Math" w:hAnsi="Cambria Math"/>
                          <w:sz w:val="18"/>
                          <w:szCs w:val="18"/>
                        </w:rPr>
                        <m:t>1</m:t>
                      </m:r>
                    </m:sub>
                  </m:sSub>
                </m:num>
                <m:den>
                  <m:r>
                    <w:rPr>
                      <w:rFonts w:ascii="Cambria Math" w:hAnsi="Cambria Math"/>
                      <w:sz w:val="18"/>
                      <w:szCs w:val="18"/>
                    </w:rPr>
                    <m:t>2</m:t>
                  </m:r>
                </m:den>
              </m:f>
            </m:oMath>
            <w:r>
              <w:rPr>
                <w:sz w:val="18"/>
                <w:szCs w:val="18"/>
              </w:rPr>
              <w:t>) =</w:t>
            </w:r>
          </w:p>
          <w:p w14:paraId="0E5A9C85" w14:textId="77777777" w:rsidR="004E6B93" w:rsidRDefault="0078359C">
            <w:pPr>
              <w:jc w:val="center"/>
              <w:rPr>
                <w:sz w:val="18"/>
                <w:szCs w:val="18"/>
              </w:rPr>
            </w:pPr>
            <m:oMath>
              <m:f>
                <m:fPr>
                  <m:ctrlPr>
                    <w:rPr>
                      <w:rFonts w:ascii="Cambria Math" w:hAnsi="Cambria Math"/>
                      <w:sz w:val="16"/>
                      <w:szCs w:val="16"/>
                    </w:rPr>
                  </m:ctrlPr>
                </m:fPr>
                <m:num>
                  <m:r>
                    <w:rPr>
                      <w:rFonts w:ascii="Cambria Math" w:hAnsi="Cambria Math"/>
                      <w:sz w:val="16"/>
                      <w:szCs w:val="16"/>
                    </w:rPr>
                    <m:t>1</m:t>
                  </m:r>
                </m:num>
                <m:den>
                  <m:r>
                    <w:rPr>
                      <w:rFonts w:ascii="Cambria Math" w:hAnsi="Cambria Math"/>
                      <w:sz w:val="16"/>
                      <w:szCs w:val="16"/>
                    </w:rPr>
                    <m:t>2</m:t>
                  </m:r>
                </m:den>
              </m:f>
            </m:oMath>
            <w:r>
              <w:rPr>
                <w:sz w:val="16"/>
                <w:szCs w:val="16"/>
              </w:rPr>
              <w:t xml:space="preserve"> * (2 +</w:t>
            </w:r>
            <m:oMath>
              <m:sSub>
                <m:sSubPr>
                  <m:ctrlPr>
                    <w:rPr>
                      <w:rFonts w:ascii="Cambria Math" w:hAnsi="Cambria Math"/>
                      <w:sz w:val="16"/>
                      <w:szCs w:val="16"/>
                    </w:rPr>
                  </m:ctrlPr>
                </m:sSubPr>
                <m:e>
                  <m:r>
                    <w:rPr>
                      <w:rFonts w:ascii="Cambria Math" w:hAnsi="Cambria Math"/>
                      <w:sz w:val="16"/>
                      <w:szCs w:val="16"/>
                    </w:rPr>
                    <m:t>a</m:t>
                  </m:r>
                </m:e>
                <m:sub>
                  <m:r>
                    <w:rPr>
                      <w:rFonts w:ascii="Cambria Math" w:hAnsi="Cambria Math"/>
                      <w:sz w:val="16"/>
                      <w:szCs w:val="16"/>
                    </w:rPr>
                    <m:t>1</m:t>
                  </m:r>
                </m:sub>
              </m:sSub>
            </m:oMath>
            <w:r>
              <w:rPr>
                <w:sz w:val="16"/>
                <w:szCs w:val="16"/>
              </w:rPr>
              <w:t>+</w:t>
            </w:r>
            <m:oMath>
              <m:sSub>
                <m:sSubPr>
                  <m:ctrlPr>
                    <w:rPr>
                      <w:rFonts w:ascii="Cambria Math" w:hAnsi="Cambria Math"/>
                      <w:sz w:val="16"/>
                      <w:szCs w:val="16"/>
                    </w:rPr>
                  </m:ctrlPr>
                </m:sSubPr>
                <m:e>
                  <m:r>
                    <w:rPr>
                      <w:rFonts w:ascii="Cambria Math" w:hAnsi="Cambria Math"/>
                      <w:sz w:val="16"/>
                      <w:szCs w:val="16"/>
                    </w:rPr>
                    <m:t>b</m:t>
                  </m:r>
                </m:e>
                <m:sub>
                  <m:r>
                    <w:rPr>
                      <w:rFonts w:ascii="Cambria Math" w:hAnsi="Cambria Math"/>
                      <w:sz w:val="16"/>
                      <w:szCs w:val="16"/>
                    </w:rPr>
                    <m:t>1</m:t>
                  </m:r>
                </m:sub>
              </m:sSub>
            </m:oMath>
            <w:r>
              <w:rPr>
                <w:sz w:val="16"/>
                <w:szCs w:val="16"/>
              </w:rPr>
              <w:t>)</w:t>
            </w:r>
            <w:r>
              <w:rPr>
                <w:sz w:val="18"/>
                <w:szCs w:val="18"/>
              </w:rPr>
              <w:t xml:space="preserve"> </w:t>
            </w:r>
          </w:p>
        </w:tc>
        <w:tc>
          <w:tcPr>
            <w:tcW w:w="1380" w:type="dxa"/>
            <w:shd w:val="clear" w:color="auto" w:fill="auto"/>
            <w:tcMar>
              <w:top w:w="100" w:type="dxa"/>
              <w:left w:w="100" w:type="dxa"/>
              <w:bottom w:w="100" w:type="dxa"/>
              <w:right w:w="100" w:type="dxa"/>
            </w:tcMar>
            <w:vAlign w:val="center"/>
          </w:tcPr>
          <w:p w14:paraId="45335D74" w14:textId="77777777" w:rsidR="004E6B93" w:rsidRDefault="0078359C">
            <w:pPr>
              <w:jc w:val="center"/>
              <w:rPr>
                <w:sz w:val="18"/>
                <w:szCs w:val="18"/>
              </w:rPr>
            </w:pPr>
            <w:r>
              <w:rPr>
                <w:sz w:val="18"/>
                <w:szCs w:val="18"/>
              </w:rPr>
              <w:t xml:space="preserve"> </w:t>
            </w: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 (1+</w:t>
            </w:r>
            <m:oMath>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1</m:t>
                  </m:r>
                </m:sub>
              </m:sSub>
            </m:oMath>
            <w:r>
              <w:rPr>
                <w:sz w:val="18"/>
                <w:szCs w:val="18"/>
              </w:rPr>
              <w:t>)</w:t>
            </w:r>
          </w:p>
        </w:tc>
        <w:tc>
          <w:tcPr>
            <w:tcW w:w="1380" w:type="dxa"/>
            <w:shd w:val="clear" w:color="auto" w:fill="auto"/>
            <w:tcMar>
              <w:top w:w="100" w:type="dxa"/>
              <w:left w:w="100" w:type="dxa"/>
              <w:bottom w:w="100" w:type="dxa"/>
              <w:right w:w="100" w:type="dxa"/>
            </w:tcMar>
            <w:vAlign w:val="center"/>
          </w:tcPr>
          <w:p w14:paraId="5E94FB63" w14:textId="77777777" w:rsidR="004E6B93" w:rsidRDefault="0078359C">
            <w:pPr>
              <w:jc w:val="center"/>
              <w:rPr>
                <w:sz w:val="18"/>
                <w:szCs w:val="18"/>
              </w:rPr>
            </w:pP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 (1+</w:t>
            </w:r>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1</m:t>
                  </m:r>
                </m:sub>
              </m:sSub>
            </m:oMath>
            <w:r>
              <w:rPr>
                <w:sz w:val="18"/>
                <w:szCs w:val="18"/>
              </w:rPr>
              <w:t>)</w:t>
            </w:r>
          </w:p>
        </w:tc>
        <w:tc>
          <w:tcPr>
            <w:tcW w:w="2040" w:type="dxa"/>
            <w:shd w:val="clear" w:color="auto" w:fill="auto"/>
            <w:tcMar>
              <w:top w:w="100" w:type="dxa"/>
              <w:left w:w="100" w:type="dxa"/>
              <w:bottom w:w="100" w:type="dxa"/>
              <w:right w:w="100" w:type="dxa"/>
            </w:tcMar>
            <w:vAlign w:val="center"/>
          </w:tcPr>
          <w:p w14:paraId="147CF36A" w14:textId="77777777" w:rsidR="004E6B93" w:rsidRDefault="0078359C">
            <w:pPr>
              <w:jc w:val="center"/>
              <w:rPr>
                <w:sz w:val="18"/>
                <w:szCs w:val="18"/>
              </w:rPr>
            </w:pPr>
            <w:r>
              <w:rPr>
                <w:sz w:val="18"/>
                <w:szCs w:val="18"/>
              </w:rPr>
              <w:t>1+</w:t>
            </w:r>
            <m:oMath>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a</m:t>
                  </m:r>
                  <m:sSub>
                    <m:sSubPr>
                      <m:ctrlPr>
                        <w:rPr>
                          <w:rFonts w:ascii="Cambria Math" w:hAnsi="Cambria Math"/>
                          <w:sz w:val="18"/>
                          <w:szCs w:val="18"/>
                        </w:rPr>
                      </m:ctrlPr>
                    </m:sSubPr>
                    <m:e/>
                    <m:sub>
                      <m:r>
                        <w:rPr>
                          <w:rFonts w:ascii="Cambria Math" w:hAnsi="Cambria Math"/>
                          <w:sz w:val="18"/>
                          <w:szCs w:val="18"/>
                        </w:rPr>
                        <m:t>1</m:t>
                      </m:r>
                    </m:sub>
                  </m:sSub>
                  <m:r>
                    <w:rPr>
                      <w:rFonts w:ascii="Cambria Math" w:hAnsi="Cambria Math"/>
                      <w:sz w:val="18"/>
                      <w:szCs w:val="18"/>
                    </w:rPr>
                    <m:t>+</m:t>
                  </m:r>
                  <m:r>
                    <w:rPr>
                      <w:rFonts w:ascii="Cambria Math" w:hAnsi="Cambria Math"/>
                      <w:sz w:val="18"/>
                      <w:szCs w:val="18"/>
                    </w:rPr>
                    <m:t>b</m:t>
                  </m:r>
                  <m:sSub>
                    <m:sSubPr>
                      <m:ctrlPr>
                        <w:rPr>
                          <w:rFonts w:ascii="Cambria Math" w:hAnsi="Cambria Math"/>
                          <w:sz w:val="18"/>
                          <w:szCs w:val="18"/>
                        </w:rPr>
                      </m:ctrlPr>
                    </m:sSubPr>
                    <m:e/>
                    <m:sub>
                      <m:r>
                        <w:rPr>
                          <w:rFonts w:ascii="Cambria Math" w:hAnsi="Cambria Math"/>
                          <w:sz w:val="18"/>
                          <w:szCs w:val="18"/>
                        </w:rPr>
                        <m:t>1</m:t>
                      </m:r>
                    </m:sub>
                  </m:sSub>
                </m:num>
                <m:den>
                  <m:r>
                    <w:rPr>
                      <w:rFonts w:ascii="Cambria Math" w:hAnsi="Cambria Math"/>
                      <w:sz w:val="18"/>
                      <w:szCs w:val="18"/>
                    </w:rPr>
                    <m:t>2</m:t>
                  </m:r>
                </m:den>
              </m:f>
            </m:oMath>
            <w:r>
              <w:rPr>
                <w:sz w:val="18"/>
                <w:szCs w:val="18"/>
              </w:rPr>
              <w:t>)</w:t>
            </w:r>
          </w:p>
        </w:tc>
      </w:tr>
      <w:tr w:rsidR="004E6B93" w14:paraId="3889A756" w14:textId="77777777">
        <w:trPr>
          <w:trHeight w:val="880"/>
        </w:trPr>
        <w:tc>
          <w:tcPr>
            <w:tcW w:w="1815" w:type="dxa"/>
            <w:shd w:val="clear" w:color="auto" w:fill="auto"/>
            <w:tcMar>
              <w:top w:w="100" w:type="dxa"/>
              <w:left w:w="100" w:type="dxa"/>
              <w:bottom w:w="100" w:type="dxa"/>
              <w:right w:w="100" w:type="dxa"/>
            </w:tcMar>
            <w:vAlign w:val="center"/>
          </w:tcPr>
          <w:p w14:paraId="53B3528C" w14:textId="77777777" w:rsidR="004E6B93" w:rsidRDefault="0078359C">
            <w:pPr>
              <w:widowControl w:val="0"/>
              <w:spacing w:line="240" w:lineRule="auto"/>
            </w:pPr>
            <w:r>
              <w:t>after period</w:t>
            </w:r>
            <w:r>
              <w:rPr>
                <w:vertAlign w:val="subscript"/>
              </w:rPr>
              <w:t>2</w:t>
            </w:r>
          </w:p>
        </w:tc>
        <w:tc>
          <w:tcPr>
            <w:tcW w:w="1380" w:type="dxa"/>
            <w:shd w:val="clear" w:color="auto" w:fill="auto"/>
            <w:tcMar>
              <w:top w:w="100" w:type="dxa"/>
              <w:left w:w="100" w:type="dxa"/>
              <w:bottom w:w="100" w:type="dxa"/>
              <w:right w:w="100" w:type="dxa"/>
            </w:tcMar>
            <w:vAlign w:val="center"/>
          </w:tcPr>
          <w:p w14:paraId="2172AD63" w14:textId="77777777" w:rsidR="004E6B93" w:rsidRDefault="0078359C">
            <w:pPr>
              <w:jc w:val="center"/>
              <w:rPr>
                <w:sz w:val="18"/>
                <w:szCs w:val="18"/>
              </w:rPr>
            </w:pPr>
            <m:oMathPara>
              <m:oMath>
                <m:d>
                  <m:dPr>
                    <m:begChr m:val="["/>
                    <m:endChr m:val="]"/>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a</m:t>
                        </m:r>
                        <m:sSub>
                          <m:sSubPr>
                            <m:ctrlPr>
                              <w:rPr>
                                <w:rFonts w:ascii="Cambria Math" w:hAnsi="Cambria Math"/>
                                <w:sz w:val="18"/>
                                <w:szCs w:val="18"/>
                              </w:rPr>
                            </m:ctrlPr>
                          </m:sSubPr>
                          <m:e/>
                          <m:sub>
                            <m:r>
                              <w:rPr>
                                <w:rFonts w:ascii="Cambria Math" w:hAnsi="Cambria Math"/>
                                <w:sz w:val="18"/>
                                <w:szCs w:val="18"/>
                              </w:rPr>
                              <m:t>1</m:t>
                            </m:r>
                          </m:sub>
                        </m:sSub>
                        <m:r>
                          <w:rPr>
                            <w:rFonts w:ascii="Cambria Math" w:hAnsi="Cambria Math"/>
                            <w:sz w:val="18"/>
                            <w:szCs w:val="18"/>
                          </w:rPr>
                          <m:t>+</m:t>
                        </m:r>
                        <m:r>
                          <w:rPr>
                            <w:rFonts w:ascii="Cambria Math" w:hAnsi="Cambria Math"/>
                            <w:sz w:val="18"/>
                            <w:szCs w:val="18"/>
                          </w:rPr>
                          <m:t>b</m:t>
                        </m:r>
                        <m:sSub>
                          <m:sSubPr>
                            <m:ctrlPr>
                              <w:rPr>
                                <w:rFonts w:ascii="Cambria Math" w:hAnsi="Cambria Math"/>
                                <w:sz w:val="18"/>
                                <w:szCs w:val="18"/>
                              </w:rPr>
                            </m:ctrlPr>
                          </m:sSubPr>
                          <m:e/>
                          <m:sub>
                            <m:r>
                              <w:rPr>
                                <w:rFonts w:ascii="Cambria Math" w:hAnsi="Cambria Math"/>
                                <w:sz w:val="18"/>
                                <w:szCs w:val="18"/>
                              </w:rPr>
                              <m:t>1</m:t>
                            </m:r>
                          </m:sub>
                        </m:sSub>
                      </m:num>
                      <m:den>
                        <m:r>
                          <w:rPr>
                            <w:rFonts w:ascii="Cambria Math" w:hAnsi="Cambria Math"/>
                            <w:sz w:val="18"/>
                            <w:szCs w:val="18"/>
                          </w:rPr>
                          <m:t>4</m:t>
                        </m:r>
                      </m:den>
                    </m:f>
                    <m:r>
                      <w:rPr>
                        <w:rFonts w:ascii="Cambria Math" w:hAnsi="Cambria Math"/>
                        <w:sz w:val="18"/>
                        <w:szCs w:val="18"/>
                      </w:rPr>
                      <m:t>)</m:t>
                    </m:r>
                  </m:e>
                </m:d>
              </m:oMath>
            </m:oMathPara>
          </w:p>
          <w:p w14:paraId="4772715A" w14:textId="77777777" w:rsidR="004E6B93" w:rsidRDefault="0078359C">
            <w:pPr>
              <w:jc w:val="center"/>
              <w:rPr>
                <w:sz w:val="18"/>
                <w:szCs w:val="18"/>
              </w:rPr>
            </w:pPr>
            <w:r>
              <w:rPr>
                <w:sz w:val="18"/>
                <w:szCs w:val="18"/>
              </w:rPr>
              <w:t>* (1+</w:t>
            </w:r>
            <m:oMath>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2</m:t>
                  </m:r>
                </m:sub>
              </m:sSub>
            </m:oMath>
            <w:r>
              <w:rPr>
                <w:sz w:val="18"/>
                <w:szCs w:val="18"/>
              </w:rPr>
              <w:t>)</w:t>
            </w:r>
          </w:p>
        </w:tc>
        <w:tc>
          <w:tcPr>
            <w:tcW w:w="1380" w:type="dxa"/>
            <w:shd w:val="clear" w:color="auto" w:fill="auto"/>
            <w:tcMar>
              <w:top w:w="100" w:type="dxa"/>
              <w:left w:w="100" w:type="dxa"/>
              <w:bottom w:w="100" w:type="dxa"/>
              <w:right w:w="100" w:type="dxa"/>
            </w:tcMar>
            <w:vAlign w:val="center"/>
          </w:tcPr>
          <w:p w14:paraId="0C7360FE" w14:textId="77777777" w:rsidR="004E6B93" w:rsidRDefault="0078359C">
            <w:pPr>
              <w:jc w:val="center"/>
              <w:rPr>
                <w:sz w:val="18"/>
                <w:szCs w:val="18"/>
              </w:rPr>
            </w:pPr>
            <m:oMathPara>
              <m:oMath>
                <m:d>
                  <m:dPr>
                    <m:begChr m:val="["/>
                    <m:endChr m:val="]"/>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a</m:t>
                        </m:r>
                        <m:sSub>
                          <m:sSubPr>
                            <m:ctrlPr>
                              <w:rPr>
                                <w:rFonts w:ascii="Cambria Math" w:hAnsi="Cambria Math"/>
                                <w:sz w:val="18"/>
                                <w:szCs w:val="18"/>
                              </w:rPr>
                            </m:ctrlPr>
                          </m:sSubPr>
                          <m:e/>
                          <m:sub>
                            <m:r>
                              <w:rPr>
                                <w:rFonts w:ascii="Cambria Math" w:hAnsi="Cambria Math"/>
                                <w:sz w:val="18"/>
                                <w:szCs w:val="18"/>
                              </w:rPr>
                              <m:t>1</m:t>
                            </m:r>
                          </m:sub>
                        </m:sSub>
                        <m:r>
                          <w:rPr>
                            <w:rFonts w:ascii="Cambria Math" w:hAnsi="Cambria Math"/>
                            <w:sz w:val="18"/>
                            <w:szCs w:val="18"/>
                          </w:rPr>
                          <m:t>+</m:t>
                        </m:r>
                        <m:r>
                          <w:rPr>
                            <w:rFonts w:ascii="Cambria Math" w:hAnsi="Cambria Math"/>
                            <w:sz w:val="18"/>
                            <w:szCs w:val="18"/>
                          </w:rPr>
                          <m:t>b</m:t>
                        </m:r>
                        <m:sSub>
                          <m:sSubPr>
                            <m:ctrlPr>
                              <w:rPr>
                                <w:rFonts w:ascii="Cambria Math" w:hAnsi="Cambria Math"/>
                                <w:sz w:val="18"/>
                                <w:szCs w:val="18"/>
                              </w:rPr>
                            </m:ctrlPr>
                          </m:sSubPr>
                          <m:e/>
                          <m:sub>
                            <m:r>
                              <w:rPr>
                                <w:rFonts w:ascii="Cambria Math" w:hAnsi="Cambria Math"/>
                                <w:sz w:val="18"/>
                                <w:szCs w:val="18"/>
                              </w:rPr>
                              <m:t>1</m:t>
                            </m:r>
                          </m:sub>
                        </m:sSub>
                      </m:num>
                      <m:den>
                        <m:r>
                          <w:rPr>
                            <w:rFonts w:ascii="Cambria Math" w:hAnsi="Cambria Math"/>
                            <w:sz w:val="18"/>
                            <w:szCs w:val="18"/>
                          </w:rPr>
                          <m:t>4</m:t>
                        </m:r>
                      </m:den>
                    </m:f>
                    <m:r>
                      <w:rPr>
                        <w:rFonts w:ascii="Cambria Math" w:hAnsi="Cambria Math"/>
                        <w:sz w:val="18"/>
                        <w:szCs w:val="18"/>
                      </w:rPr>
                      <m:t>)</m:t>
                    </m:r>
                  </m:e>
                </m:d>
              </m:oMath>
            </m:oMathPara>
          </w:p>
          <w:p w14:paraId="415C94D7" w14:textId="77777777" w:rsidR="004E6B93" w:rsidRDefault="0078359C">
            <w:pPr>
              <w:jc w:val="center"/>
              <w:rPr>
                <w:sz w:val="18"/>
                <w:szCs w:val="18"/>
              </w:rPr>
            </w:pPr>
            <w:r>
              <w:rPr>
                <w:sz w:val="18"/>
                <w:szCs w:val="18"/>
              </w:rPr>
              <w:t>* (1+</w:t>
            </w:r>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2</m:t>
                  </m:r>
                </m:sub>
              </m:sSub>
            </m:oMath>
            <w:r>
              <w:rPr>
                <w:sz w:val="18"/>
                <w:szCs w:val="18"/>
              </w:rPr>
              <w:t>)</w:t>
            </w:r>
          </w:p>
        </w:tc>
        <w:tc>
          <w:tcPr>
            <w:tcW w:w="1380" w:type="dxa"/>
            <w:shd w:val="clear" w:color="auto" w:fill="auto"/>
            <w:tcMar>
              <w:top w:w="100" w:type="dxa"/>
              <w:left w:w="100" w:type="dxa"/>
              <w:bottom w:w="100" w:type="dxa"/>
              <w:right w:w="100" w:type="dxa"/>
            </w:tcMar>
            <w:vAlign w:val="center"/>
          </w:tcPr>
          <w:p w14:paraId="17C6C829" w14:textId="77777777" w:rsidR="004E6B93" w:rsidRDefault="0078359C">
            <w:pPr>
              <w:jc w:val="center"/>
              <w:rPr>
                <w:color w:val="FF0000"/>
                <w:sz w:val="16"/>
                <w:szCs w:val="16"/>
              </w:rPr>
            </w:pPr>
            <m:oMath>
              <m:f>
                <m:fPr>
                  <m:ctrlPr>
                    <w:rPr>
                      <w:rFonts w:ascii="Cambria Math" w:hAnsi="Cambria Math"/>
                      <w:color w:val="FF0000"/>
                      <w:sz w:val="16"/>
                      <w:szCs w:val="16"/>
                    </w:rPr>
                  </m:ctrlPr>
                </m:fPr>
                <m:num>
                  <m:r>
                    <w:rPr>
                      <w:rFonts w:ascii="Cambria Math" w:hAnsi="Cambria Math"/>
                      <w:color w:val="FF0000"/>
                      <w:sz w:val="16"/>
                      <w:szCs w:val="16"/>
                    </w:rPr>
                    <m:t>1</m:t>
                  </m:r>
                </m:num>
                <m:den>
                  <m:r>
                    <w:rPr>
                      <w:rFonts w:ascii="Cambria Math" w:hAnsi="Cambria Math"/>
                      <w:color w:val="FF0000"/>
                      <w:sz w:val="16"/>
                      <w:szCs w:val="16"/>
                    </w:rPr>
                    <m:t>4</m:t>
                  </m:r>
                </m:den>
              </m:f>
            </m:oMath>
            <w:r>
              <w:rPr>
                <w:color w:val="FF0000"/>
                <w:sz w:val="16"/>
                <w:szCs w:val="16"/>
              </w:rPr>
              <w:t xml:space="preserve"> * (2 +</w:t>
            </w:r>
            <m:oMath>
              <m:sSub>
                <m:sSubPr>
                  <m:ctrlPr>
                    <w:rPr>
                      <w:rFonts w:ascii="Cambria Math" w:hAnsi="Cambria Math"/>
                      <w:color w:val="FF0000"/>
                      <w:sz w:val="16"/>
                      <w:szCs w:val="16"/>
                    </w:rPr>
                  </m:ctrlPr>
                </m:sSubPr>
                <m:e>
                  <m:r>
                    <w:rPr>
                      <w:rFonts w:ascii="Cambria Math" w:hAnsi="Cambria Math"/>
                      <w:color w:val="FF0000"/>
                      <w:sz w:val="16"/>
                      <w:szCs w:val="16"/>
                    </w:rPr>
                    <m:t>a</m:t>
                  </m:r>
                </m:e>
                <m:sub>
                  <m:r>
                    <w:rPr>
                      <w:rFonts w:ascii="Cambria Math" w:hAnsi="Cambria Math"/>
                      <w:color w:val="FF0000"/>
                      <w:sz w:val="16"/>
                      <w:szCs w:val="16"/>
                    </w:rPr>
                    <m:t>1</m:t>
                  </m:r>
                </m:sub>
              </m:sSub>
            </m:oMath>
            <w:r>
              <w:rPr>
                <w:color w:val="FF0000"/>
                <w:sz w:val="16"/>
                <w:szCs w:val="16"/>
              </w:rPr>
              <w:t>+</w:t>
            </w:r>
            <m:oMath>
              <m:sSub>
                <m:sSubPr>
                  <m:ctrlPr>
                    <w:rPr>
                      <w:rFonts w:ascii="Cambria Math" w:hAnsi="Cambria Math"/>
                      <w:color w:val="FF0000"/>
                      <w:sz w:val="16"/>
                      <w:szCs w:val="16"/>
                    </w:rPr>
                  </m:ctrlPr>
                </m:sSubPr>
                <m:e>
                  <m:r>
                    <w:rPr>
                      <w:rFonts w:ascii="Cambria Math" w:hAnsi="Cambria Math"/>
                      <w:color w:val="FF0000"/>
                      <w:sz w:val="16"/>
                      <w:szCs w:val="16"/>
                    </w:rPr>
                    <m:t>b</m:t>
                  </m:r>
                </m:e>
                <m:sub>
                  <m:r>
                    <w:rPr>
                      <w:rFonts w:ascii="Cambria Math" w:hAnsi="Cambria Math"/>
                      <w:color w:val="FF0000"/>
                      <w:sz w:val="16"/>
                      <w:szCs w:val="16"/>
                    </w:rPr>
                    <m:t>1</m:t>
                  </m:r>
                </m:sub>
              </m:sSub>
            </m:oMath>
            <w:r>
              <w:rPr>
                <w:color w:val="FF0000"/>
                <w:sz w:val="16"/>
                <w:szCs w:val="16"/>
              </w:rPr>
              <w:t>)  * (2 +</w:t>
            </w:r>
            <m:oMath>
              <m:sSub>
                <m:sSubPr>
                  <m:ctrlPr>
                    <w:rPr>
                      <w:rFonts w:ascii="Cambria Math" w:hAnsi="Cambria Math"/>
                      <w:color w:val="FF0000"/>
                      <w:sz w:val="16"/>
                      <w:szCs w:val="16"/>
                    </w:rPr>
                  </m:ctrlPr>
                </m:sSubPr>
                <m:e>
                  <m:r>
                    <w:rPr>
                      <w:rFonts w:ascii="Cambria Math" w:hAnsi="Cambria Math"/>
                      <w:color w:val="FF0000"/>
                      <w:sz w:val="16"/>
                      <w:szCs w:val="16"/>
                    </w:rPr>
                    <m:t>a</m:t>
                  </m:r>
                </m:e>
                <m:sub>
                  <m:r>
                    <w:rPr>
                      <w:rFonts w:ascii="Cambria Math" w:hAnsi="Cambria Math"/>
                      <w:color w:val="FF0000"/>
                      <w:sz w:val="16"/>
                      <w:szCs w:val="16"/>
                    </w:rPr>
                    <m:t>2</m:t>
                  </m:r>
                </m:sub>
              </m:sSub>
            </m:oMath>
            <w:r>
              <w:rPr>
                <w:color w:val="FF0000"/>
                <w:sz w:val="16"/>
                <w:szCs w:val="16"/>
              </w:rPr>
              <w:t>+</w:t>
            </w:r>
            <m:oMath>
              <m:sSub>
                <m:sSubPr>
                  <m:ctrlPr>
                    <w:rPr>
                      <w:rFonts w:ascii="Cambria Math" w:hAnsi="Cambria Math"/>
                      <w:color w:val="FF0000"/>
                      <w:sz w:val="16"/>
                      <w:szCs w:val="16"/>
                    </w:rPr>
                  </m:ctrlPr>
                </m:sSubPr>
                <m:e>
                  <m:r>
                    <w:rPr>
                      <w:rFonts w:ascii="Cambria Math" w:hAnsi="Cambria Math"/>
                      <w:color w:val="FF0000"/>
                      <w:sz w:val="16"/>
                      <w:szCs w:val="16"/>
                    </w:rPr>
                    <m:t>b</m:t>
                  </m:r>
                </m:e>
                <m:sub>
                  <m:r>
                    <w:rPr>
                      <w:rFonts w:ascii="Cambria Math" w:hAnsi="Cambria Math"/>
                      <w:color w:val="FF0000"/>
                      <w:sz w:val="16"/>
                      <w:szCs w:val="16"/>
                    </w:rPr>
                    <m:t>2</m:t>
                  </m:r>
                </m:sub>
              </m:sSub>
            </m:oMath>
            <w:r>
              <w:rPr>
                <w:color w:val="FF0000"/>
                <w:sz w:val="16"/>
                <w:szCs w:val="16"/>
              </w:rPr>
              <w:t>)</w:t>
            </w:r>
          </w:p>
          <w:p w14:paraId="3FF98E62" w14:textId="77777777" w:rsidR="004E6B93" w:rsidRDefault="004E6B93">
            <w:pPr>
              <w:jc w:val="center"/>
              <w:rPr>
                <w:sz w:val="16"/>
                <w:szCs w:val="16"/>
              </w:rPr>
            </w:pPr>
          </w:p>
        </w:tc>
        <w:tc>
          <w:tcPr>
            <w:tcW w:w="1380" w:type="dxa"/>
            <w:shd w:val="clear" w:color="auto" w:fill="auto"/>
            <w:tcMar>
              <w:top w:w="100" w:type="dxa"/>
              <w:left w:w="100" w:type="dxa"/>
              <w:bottom w:w="100" w:type="dxa"/>
              <w:right w:w="100" w:type="dxa"/>
            </w:tcMar>
            <w:vAlign w:val="center"/>
          </w:tcPr>
          <w:p w14:paraId="63D815FF" w14:textId="77777777" w:rsidR="004E6B93" w:rsidRDefault="0078359C">
            <w:pPr>
              <w:jc w:val="center"/>
              <w:rPr>
                <w:sz w:val="18"/>
                <w:szCs w:val="18"/>
              </w:rPr>
            </w:pP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 (1+</w:t>
            </w:r>
            <m:oMath>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1</m:t>
                  </m:r>
                </m:sub>
              </m:sSub>
            </m:oMath>
            <w:r>
              <w:rPr>
                <w:sz w:val="18"/>
                <w:szCs w:val="18"/>
              </w:rPr>
              <w:t xml:space="preserve">) </w:t>
            </w:r>
            <w:proofErr w:type="gramStart"/>
            <w:r>
              <w:rPr>
                <w:sz w:val="18"/>
                <w:szCs w:val="18"/>
              </w:rPr>
              <w:t>*  (</w:t>
            </w:r>
            <w:proofErr w:type="gramEnd"/>
            <w:r>
              <w:rPr>
                <w:sz w:val="18"/>
                <w:szCs w:val="18"/>
              </w:rPr>
              <w:t>1+</w:t>
            </w:r>
            <m:oMath>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2</m:t>
                  </m:r>
                </m:sub>
              </m:sSub>
            </m:oMath>
            <w:r>
              <w:rPr>
                <w:sz w:val="18"/>
                <w:szCs w:val="18"/>
              </w:rPr>
              <w:t>)</w:t>
            </w:r>
          </w:p>
        </w:tc>
        <w:tc>
          <w:tcPr>
            <w:tcW w:w="1380" w:type="dxa"/>
            <w:shd w:val="clear" w:color="auto" w:fill="auto"/>
            <w:tcMar>
              <w:top w:w="100" w:type="dxa"/>
              <w:left w:w="100" w:type="dxa"/>
              <w:bottom w:w="100" w:type="dxa"/>
              <w:right w:w="100" w:type="dxa"/>
            </w:tcMar>
            <w:vAlign w:val="center"/>
          </w:tcPr>
          <w:p w14:paraId="73D0D404" w14:textId="77777777" w:rsidR="004E6B93" w:rsidRDefault="0078359C">
            <w:pPr>
              <w:jc w:val="center"/>
              <w:rPr>
                <w:sz w:val="18"/>
                <w:szCs w:val="18"/>
              </w:rPr>
            </w:pPr>
            <m:oMath>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 (1+</w:t>
            </w:r>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1</m:t>
                  </m:r>
                </m:sub>
              </m:sSub>
            </m:oMath>
            <w:r>
              <w:rPr>
                <w:sz w:val="18"/>
                <w:szCs w:val="18"/>
              </w:rPr>
              <w:t xml:space="preserve">) </w:t>
            </w:r>
            <w:proofErr w:type="gramStart"/>
            <w:r>
              <w:rPr>
                <w:sz w:val="18"/>
                <w:szCs w:val="18"/>
              </w:rPr>
              <w:t>*  (</w:t>
            </w:r>
            <w:proofErr w:type="gramEnd"/>
            <w:r>
              <w:rPr>
                <w:sz w:val="18"/>
                <w:szCs w:val="18"/>
              </w:rPr>
              <w:t>1+</w:t>
            </w:r>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2</m:t>
                  </m:r>
                </m:sub>
              </m:sSub>
            </m:oMath>
            <w:r>
              <w:rPr>
                <w:sz w:val="18"/>
                <w:szCs w:val="18"/>
              </w:rPr>
              <w:t>)</w:t>
            </w:r>
          </w:p>
        </w:tc>
        <w:tc>
          <w:tcPr>
            <w:tcW w:w="2040" w:type="dxa"/>
            <w:shd w:val="clear" w:color="auto" w:fill="auto"/>
            <w:tcMar>
              <w:top w:w="100" w:type="dxa"/>
              <w:left w:w="100" w:type="dxa"/>
              <w:bottom w:w="100" w:type="dxa"/>
              <w:right w:w="100" w:type="dxa"/>
            </w:tcMar>
            <w:vAlign w:val="center"/>
          </w:tcPr>
          <w:p w14:paraId="2D628B60" w14:textId="77777777" w:rsidR="004E6B93" w:rsidRDefault="0078359C">
            <w:pPr>
              <w:jc w:val="center"/>
              <w:rPr>
                <w:color w:val="93C47D"/>
                <w:sz w:val="16"/>
                <w:szCs w:val="16"/>
              </w:rPr>
            </w:pPr>
            <m:oMathPara>
              <m:oMath>
                <m:f>
                  <m:fPr>
                    <m:ctrlPr>
                      <w:rPr>
                        <w:rFonts w:ascii="Cambria Math" w:hAnsi="Cambria Math"/>
                        <w:color w:val="93C47D"/>
                        <w:sz w:val="18"/>
                        <w:szCs w:val="18"/>
                      </w:rPr>
                    </m:ctrlPr>
                  </m:fPr>
                  <m:num>
                    <m:r>
                      <w:rPr>
                        <w:rFonts w:ascii="Cambria Math" w:hAnsi="Cambria Math"/>
                        <w:color w:val="93C47D"/>
                        <w:sz w:val="18"/>
                        <w:szCs w:val="18"/>
                      </w:rPr>
                      <m:t>(1+</m:t>
                    </m:r>
                    <m:sSub>
                      <m:sSubPr>
                        <m:ctrlPr>
                          <w:rPr>
                            <w:rFonts w:ascii="Cambria Math" w:hAnsi="Cambria Math"/>
                            <w:color w:val="93C47D"/>
                            <w:sz w:val="18"/>
                            <w:szCs w:val="18"/>
                          </w:rPr>
                        </m:ctrlPr>
                      </m:sSubPr>
                      <m:e>
                        <m:r>
                          <w:rPr>
                            <w:rFonts w:ascii="Cambria Math" w:hAnsi="Cambria Math"/>
                            <w:color w:val="93C47D"/>
                            <w:sz w:val="18"/>
                            <w:szCs w:val="18"/>
                          </w:rPr>
                          <m:t>a</m:t>
                        </m:r>
                      </m:e>
                      <m:sub>
                        <m:r>
                          <w:rPr>
                            <w:rFonts w:ascii="Cambria Math" w:hAnsi="Cambria Math"/>
                            <w:color w:val="93C47D"/>
                            <w:sz w:val="18"/>
                            <w:szCs w:val="18"/>
                          </w:rPr>
                          <m:t>1</m:t>
                        </m:r>
                      </m:sub>
                    </m:sSub>
                    <m:r>
                      <w:rPr>
                        <w:rFonts w:ascii="Cambria Math" w:hAnsi="Cambria Math"/>
                        <w:color w:val="93C47D"/>
                        <w:sz w:val="18"/>
                        <w:szCs w:val="18"/>
                      </w:rPr>
                      <m:t>) *  (1+</m:t>
                    </m:r>
                    <m:sSub>
                      <m:sSubPr>
                        <m:ctrlPr>
                          <w:rPr>
                            <w:rFonts w:ascii="Cambria Math" w:hAnsi="Cambria Math"/>
                            <w:color w:val="93C47D"/>
                            <w:sz w:val="18"/>
                            <w:szCs w:val="18"/>
                          </w:rPr>
                        </m:ctrlPr>
                      </m:sSubPr>
                      <m:e>
                        <m:r>
                          <w:rPr>
                            <w:rFonts w:ascii="Cambria Math" w:hAnsi="Cambria Math"/>
                            <w:color w:val="93C47D"/>
                            <w:sz w:val="18"/>
                            <w:szCs w:val="18"/>
                          </w:rPr>
                          <m:t>a</m:t>
                        </m:r>
                      </m:e>
                      <m:sub>
                        <m:r>
                          <w:rPr>
                            <w:rFonts w:ascii="Cambria Math" w:hAnsi="Cambria Math"/>
                            <w:color w:val="93C47D"/>
                            <w:sz w:val="18"/>
                            <w:szCs w:val="18"/>
                          </w:rPr>
                          <m:t>2</m:t>
                        </m:r>
                      </m:sub>
                    </m:sSub>
                    <m:r>
                      <w:rPr>
                        <w:rFonts w:ascii="Cambria Math" w:hAnsi="Cambria Math"/>
                        <w:color w:val="93C47D"/>
                        <w:sz w:val="18"/>
                        <w:szCs w:val="18"/>
                      </w:rPr>
                      <m:t>) + (1+</m:t>
                    </m:r>
                    <m:sSub>
                      <m:sSubPr>
                        <m:ctrlPr>
                          <w:rPr>
                            <w:rFonts w:ascii="Cambria Math" w:hAnsi="Cambria Math"/>
                            <w:color w:val="93C47D"/>
                            <w:sz w:val="18"/>
                            <w:szCs w:val="18"/>
                          </w:rPr>
                        </m:ctrlPr>
                      </m:sSubPr>
                      <m:e>
                        <m:r>
                          <w:rPr>
                            <w:rFonts w:ascii="Cambria Math" w:hAnsi="Cambria Math"/>
                            <w:color w:val="93C47D"/>
                            <w:sz w:val="18"/>
                            <w:szCs w:val="18"/>
                          </w:rPr>
                          <m:t>b</m:t>
                        </m:r>
                      </m:e>
                      <m:sub>
                        <m:r>
                          <w:rPr>
                            <w:rFonts w:ascii="Cambria Math" w:hAnsi="Cambria Math"/>
                            <w:color w:val="93C47D"/>
                            <w:sz w:val="18"/>
                            <w:szCs w:val="18"/>
                          </w:rPr>
                          <m:t>1</m:t>
                        </m:r>
                      </m:sub>
                    </m:sSub>
                    <m:r>
                      <w:rPr>
                        <w:rFonts w:ascii="Cambria Math" w:hAnsi="Cambria Math"/>
                        <w:color w:val="93C47D"/>
                        <w:sz w:val="18"/>
                        <w:szCs w:val="18"/>
                      </w:rPr>
                      <m:t>) *  (1+</m:t>
                    </m:r>
                    <m:sSub>
                      <m:sSubPr>
                        <m:ctrlPr>
                          <w:rPr>
                            <w:rFonts w:ascii="Cambria Math" w:hAnsi="Cambria Math"/>
                            <w:color w:val="93C47D"/>
                            <w:sz w:val="18"/>
                            <w:szCs w:val="18"/>
                          </w:rPr>
                        </m:ctrlPr>
                      </m:sSubPr>
                      <m:e>
                        <m:r>
                          <w:rPr>
                            <w:rFonts w:ascii="Cambria Math" w:hAnsi="Cambria Math"/>
                            <w:color w:val="93C47D"/>
                            <w:sz w:val="18"/>
                            <w:szCs w:val="18"/>
                          </w:rPr>
                          <m:t>b</m:t>
                        </m:r>
                      </m:e>
                      <m:sub>
                        <m:r>
                          <w:rPr>
                            <w:rFonts w:ascii="Cambria Math" w:hAnsi="Cambria Math"/>
                            <w:color w:val="93C47D"/>
                            <w:sz w:val="18"/>
                            <w:szCs w:val="18"/>
                          </w:rPr>
                          <m:t>2</m:t>
                        </m:r>
                      </m:sub>
                    </m:sSub>
                    <m:r>
                      <w:rPr>
                        <w:rFonts w:ascii="Cambria Math" w:hAnsi="Cambria Math"/>
                        <w:color w:val="93C47D"/>
                        <w:sz w:val="18"/>
                        <w:szCs w:val="18"/>
                      </w:rPr>
                      <m:t>)</m:t>
                    </m:r>
                  </m:num>
                  <m:den>
                    <m:r>
                      <w:rPr>
                        <w:rFonts w:ascii="Cambria Math" w:hAnsi="Cambria Math"/>
                        <w:color w:val="93C47D"/>
                        <w:sz w:val="18"/>
                        <w:szCs w:val="18"/>
                      </w:rPr>
                      <m:t>2</m:t>
                    </m:r>
                  </m:den>
                </m:f>
              </m:oMath>
            </m:oMathPara>
          </w:p>
        </w:tc>
      </w:tr>
    </w:tbl>
    <w:p w14:paraId="13E55055" w14:textId="77777777" w:rsidR="004E6B93" w:rsidRDefault="004E6B93">
      <w:pPr>
        <w:jc w:val="both"/>
      </w:pPr>
    </w:p>
    <w:p w14:paraId="5F47884C" w14:textId="77777777" w:rsidR="004E6B93" w:rsidRDefault="0078359C">
      <w:pPr>
        <w:jc w:val="both"/>
      </w:pPr>
      <w:proofErr w:type="gramStart"/>
      <w:r>
        <w:t>So</w:t>
      </w:r>
      <w:proofErr w:type="gramEnd"/>
      <w:r>
        <w:t xml:space="preserve"> we have to compare the red and green values.</w:t>
      </w:r>
    </w:p>
    <w:p w14:paraId="5644A705" w14:textId="77777777" w:rsidR="004E6B93" w:rsidRDefault="0078359C">
      <w:pPr>
        <w:jc w:val="both"/>
      </w:pPr>
      <w:r>
        <w:br w:type="page"/>
      </w:r>
    </w:p>
    <w:p w14:paraId="22C85BBC" w14:textId="77777777" w:rsidR="004E6B93" w:rsidRDefault="0078359C">
      <w:pPr>
        <w:jc w:val="both"/>
      </w:pPr>
      <w:r>
        <w:lastRenderedPageBreak/>
        <w:t>If we restructure the expressions then we get that:</w:t>
      </w:r>
    </w:p>
    <w:p w14:paraId="7B740ADE" w14:textId="77777777" w:rsidR="004E6B93" w:rsidRDefault="0078359C">
      <w:pPr>
        <w:jc w:val="both"/>
      </w:pPr>
      <w:r>
        <w:t xml:space="preserve"> </w:t>
      </w:r>
    </w:p>
    <w:p w14:paraId="2DD1E31B" w14:textId="77777777" w:rsidR="004E6B93" w:rsidRDefault="0078359C">
      <w:pPr>
        <w:jc w:val="center"/>
      </w:pPr>
      <w:r>
        <w:t xml:space="preserve">Frequent case PV &gt;=&lt; Rare case PV </w:t>
      </w:r>
    </w:p>
    <w:p w14:paraId="68025168" w14:textId="77777777" w:rsidR="004E6B93" w:rsidRDefault="004E6B93">
      <w:pPr>
        <w:jc w:val="center"/>
      </w:pPr>
    </w:p>
    <w:p w14:paraId="3BF9F160" w14:textId="77777777" w:rsidR="004E6B93" w:rsidRDefault="0078359C">
      <w:pPr>
        <w:jc w:val="center"/>
      </w:pPr>
      <w:r>
        <w:t>only if</w:t>
      </w:r>
    </w:p>
    <w:p w14:paraId="7EADCD9B" w14:textId="77777777" w:rsidR="004E6B93" w:rsidRDefault="004E6B93">
      <w:pPr>
        <w:jc w:val="center"/>
      </w:pPr>
    </w:p>
    <w:p w14:paraId="6CB5BC6D" w14:textId="77777777" w:rsidR="004E6B93" w:rsidRDefault="0078359C">
      <w:pPr>
        <w:jc w:val="center"/>
      </w:pPr>
      <w:r>
        <w:t>(a</w:t>
      </w:r>
      <w:r>
        <w:rPr>
          <w:vertAlign w:val="subscript"/>
        </w:rPr>
        <w:t>1</w:t>
      </w:r>
      <w:r>
        <w:t>+b</w:t>
      </w:r>
      <w:r>
        <w:rPr>
          <w:vertAlign w:val="subscript"/>
        </w:rPr>
        <w:t>1</w:t>
      </w:r>
      <w:r>
        <w:t>) * (a</w:t>
      </w:r>
      <w:r>
        <w:rPr>
          <w:vertAlign w:val="subscript"/>
        </w:rPr>
        <w:t>2</w:t>
      </w:r>
      <w:r>
        <w:t>+b</w:t>
      </w:r>
      <w:r>
        <w:rPr>
          <w:vertAlign w:val="subscript"/>
        </w:rPr>
        <w:t>2</w:t>
      </w:r>
      <w:r>
        <w:t>) &gt;=&lt; 2 * (a</w:t>
      </w:r>
      <w:r>
        <w:rPr>
          <w:vertAlign w:val="subscript"/>
        </w:rPr>
        <w:t>1</w:t>
      </w:r>
      <w:r>
        <w:t xml:space="preserve"> * a</w:t>
      </w:r>
      <w:r>
        <w:rPr>
          <w:vertAlign w:val="subscript"/>
        </w:rPr>
        <w:t>2</w:t>
      </w:r>
      <w:r>
        <w:t xml:space="preserve"> + b</w:t>
      </w:r>
      <w:r>
        <w:rPr>
          <w:vertAlign w:val="subscript"/>
        </w:rPr>
        <w:t>1</w:t>
      </w:r>
      <w:r>
        <w:t xml:space="preserve"> * b</w:t>
      </w:r>
      <w:r>
        <w:rPr>
          <w:vertAlign w:val="subscript"/>
        </w:rPr>
        <w:t>2</w:t>
      </w:r>
      <w:r>
        <w:t>)</w:t>
      </w:r>
    </w:p>
    <w:p w14:paraId="130A8B06" w14:textId="77777777" w:rsidR="004E6B93" w:rsidRDefault="004E6B93">
      <w:pPr>
        <w:jc w:val="center"/>
      </w:pPr>
    </w:p>
    <w:p w14:paraId="16842E8A" w14:textId="77777777" w:rsidR="004E6B93" w:rsidRDefault="0078359C">
      <w:pPr>
        <w:jc w:val="center"/>
      </w:pPr>
      <w:r>
        <w:t>which is only if</w:t>
      </w:r>
    </w:p>
    <w:p w14:paraId="67FA10F0" w14:textId="77777777" w:rsidR="004E6B93" w:rsidRDefault="004E6B93">
      <w:pPr>
        <w:jc w:val="center"/>
      </w:pPr>
    </w:p>
    <w:p w14:paraId="7F68B8DA" w14:textId="77777777" w:rsidR="004E6B93" w:rsidRDefault="0078359C">
      <w:pPr>
        <w:jc w:val="center"/>
      </w:pPr>
      <w:r>
        <w:t>0 &gt;=&lt; (a</w:t>
      </w:r>
      <w:r>
        <w:rPr>
          <w:vertAlign w:val="subscript"/>
        </w:rPr>
        <w:t xml:space="preserve">1 </w:t>
      </w:r>
      <w:r>
        <w:t>- b</w:t>
      </w:r>
      <w:r>
        <w:rPr>
          <w:vertAlign w:val="subscript"/>
        </w:rPr>
        <w:t>1</w:t>
      </w:r>
      <w:r>
        <w:t>) * (a</w:t>
      </w:r>
      <w:r>
        <w:rPr>
          <w:vertAlign w:val="subscript"/>
        </w:rPr>
        <w:t>2</w:t>
      </w:r>
      <w:r>
        <w:t xml:space="preserve"> - b</w:t>
      </w:r>
      <w:r>
        <w:rPr>
          <w:vertAlign w:val="subscript"/>
        </w:rPr>
        <w:t>2</w:t>
      </w:r>
      <w:r>
        <w:t>)</w:t>
      </w:r>
    </w:p>
    <w:p w14:paraId="6F887216" w14:textId="77777777" w:rsidR="004E6B93" w:rsidRDefault="004E6B93">
      <w:pPr>
        <w:jc w:val="center"/>
      </w:pPr>
    </w:p>
    <w:p w14:paraId="608DAF99" w14:textId="77777777" w:rsidR="004E6B93" w:rsidRDefault="004E6B93">
      <w:pPr>
        <w:rPr>
          <w:b/>
        </w:rPr>
      </w:pPr>
    </w:p>
    <w:p w14:paraId="3696794B" w14:textId="77777777" w:rsidR="004E6B93" w:rsidRDefault="0078359C">
      <w:pPr>
        <w:rPr>
          <w:b/>
        </w:rPr>
      </w:pPr>
      <w:r>
        <w:rPr>
          <w:b/>
        </w:rPr>
        <w:t>What does it mean in practice?</w:t>
      </w:r>
    </w:p>
    <w:p w14:paraId="45B7FDA0" w14:textId="77777777" w:rsidR="004E6B93" w:rsidRDefault="004E6B93">
      <w:pPr>
        <w:rPr>
          <w:b/>
        </w:rPr>
      </w:pPr>
    </w:p>
    <w:p w14:paraId="3E89B2A0" w14:textId="77777777" w:rsidR="004E6B93" w:rsidRDefault="004E6B93"/>
    <w:p w14:paraId="43967340" w14:textId="77777777" w:rsidR="004E6B93" w:rsidRDefault="0078359C">
      <w:r>
        <w:t xml:space="preserve">For </w:t>
      </w:r>
      <w:proofErr w:type="gramStart"/>
      <w:r>
        <w:t>example</w:t>
      </w:r>
      <w:proofErr w:type="gramEnd"/>
      <w:r>
        <w:t xml:space="preserve"> if stock B is flat (i.e. b</w:t>
      </w:r>
      <w:r>
        <w:rPr>
          <w:vertAlign w:val="subscript"/>
        </w:rPr>
        <w:t>1</w:t>
      </w:r>
      <w:r>
        <w:t>=b</w:t>
      </w:r>
      <w:r>
        <w:rPr>
          <w:vertAlign w:val="subscript"/>
        </w:rPr>
        <w:t>2</w:t>
      </w:r>
      <w:r>
        <w:t>=0) then we get:</w:t>
      </w:r>
    </w:p>
    <w:p w14:paraId="7DD030E4" w14:textId="77777777" w:rsidR="004E6B93" w:rsidRDefault="004E6B93"/>
    <w:p w14:paraId="36F0A872" w14:textId="77777777" w:rsidR="004E6B93" w:rsidRDefault="0078359C">
      <w:pPr>
        <w:jc w:val="center"/>
      </w:pPr>
      <w:r>
        <w:t xml:space="preserve">Frequent case PV &gt;=&lt; Rare case PV </w:t>
      </w:r>
    </w:p>
    <w:p w14:paraId="497ADC94" w14:textId="77777777" w:rsidR="004E6B93" w:rsidRDefault="004E6B93">
      <w:pPr>
        <w:jc w:val="center"/>
      </w:pPr>
    </w:p>
    <w:p w14:paraId="096CF854" w14:textId="77777777" w:rsidR="004E6B93" w:rsidRDefault="0078359C">
      <w:pPr>
        <w:jc w:val="center"/>
      </w:pPr>
      <w:r>
        <w:t>only if</w:t>
      </w:r>
    </w:p>
    <w:p w14:paraId="347F6AD5" w14:textId="77777777" w:rsidR="004E6B93" w:rsidRDefault="004E6B93">
      <w:pPr>
        <w:jc w:val="center"/>
      </w:pPr>
    </w:p>
    <w:p w14:paraId="17324FB0" w14:textId="77777777" w:rsidR="004E6B93" w:rsidRDefault="0078359C">
      <w:pPr>
        <w:jc w:val="center"/>
      </w:pPr>
      <w:r>
        <w:t>0 &gt;=</w:t>
      </w:r>
      <w:proofErr w:type="gramStart"/>
      <w:r>
        <w:t>&lt;  a</w:t>
      </w:r>
      <w:proofErr w:type="gramEnd"/>
      <w:r>
        <w:rPr>
          <w:vertAlign w:val="subscript"/>
        </w:rPr>
        <w:t>1</w:t>
      </w:r>
      <w:r>
        <w:t xml:space="preserve"> * a</w:t>
      </w:r>
      <w:r>
        <w:rPr>
          <w:vertAlign w:val="subscript"/>
        </w:rPr>
        <w:t>2</w:t>
      </w:r>
    </w:p>
    <w:p w14:paraId="0027D268" w14:textId="77777777" w:rsidR="004E6B93" w:rsidRDefault="004E6B93"/>
    <w:p w14:paraId="12BF8D7E" w14:textId="77777777" w:rsidR="004E6B93" w:rsidRDefault="0078359C">
      <w:r>
        <w:t>i.e. if a</w:t>
      </w:r>
      <w:r>
        <w:rPr>
          <w:vertAlign w:val="subscript"/>
        </w:rPr>
        <w:t>1</w:t>
      </w:r>
      <w:r>
        <w:t xml:space="preserve"> and a</w:t>
      </w:r>
      <w:r>
        <w:rPr>
          <w:vertAlign w:val="subscript"/>
        </w:rPr>
        <w:t>2</w:t>
      </w:r>
      <w:r>
        <w:t xml:space="preserve"> have different signs then frequent rebalance is a better choice.</w:t>
      </w:r>
    </w:p>
    <w:p w14:paraId="59A3C69B" w14:textId="77777777" w:rsidR="004E6B93" w:rsidRDefault="004E6B93"/>
    <w:p w14:paraId="7B071A7A" w14:textId="77777777" w:rsidR="004E6B93" w:rsidRDefault="004E6B93"/>
    <w:p w14:paraId="5A8FBB7F" w14:textId="77777777" w:rsidR="004E6B93" w:rsidRDefault="0078359C">
      <w:r>
        <w:t xml:space="preserve">In </w:t>
      </w:r>
      <w:proofErr w:type="gramStart"/>
      <w:r>
        <w:t>general</w:t>
      </w:r>
      <w:proofErr w:type="gramEnd"/>
      <w:r>
        <w:t xml:space="preserve"> the above rule means that </w:t>
      </w:r>
    </w:p>
    <w:p w14:paraId="5718D6AB" w14:textId="77777777" w:rsidR="004E6B93" w:rsidRDefault="0078359C">
      <w:pPr>
        <w:jc w:val="center"/>
      </w:pPr>
      <w:r>
        <w:t>if a</w:t>
      </w:r>
      <w:r>
        <w:rPr>
          <w:vertAlign w:val="subscript"/>
        </w:rPr>
        <w:t>1</w:t>
      </w:r>
      <w:r>
        <w:t xml:space="preserve"> &gt; (or &lt;) b</w:t>
      </w:r>
      <w:r>
        <w:rPr>
          <w:vertAlign w:val="subscript"/>
        </w:rPr>
        <w:t>1</w:t>
      </w:r>
      <w:r>
        <w:t xml:space="preserve"> </w:t>
      </w:r>
    </w:p>
    <w:p w14:paraId="6EF04EA9" w14:textId="77777777" w:rsidR="004E6B93" w:rsidRDefault="004E6B93"/>
    <w:p w14:paraId="1406A2DB" w14:textId="77777777" w:rsidR="004E6B93" w:rsidRDefault="0078359C">
      <w:r>
        <w:t>then frequent rebalance is a better choice only if</w:t>
      </w:r>
    </w:p>
    <w:p w14:paraId="5DA26FF7" w14:textId="77777777" w:rsidR="004E6B93" w:rsidRDefault="004E6B93"/>
    <w:p w14:paraId="3BAE50B7" w14:textId="77777777" w:rsidR="004E6B93" w:rsidRDefault="0078359C">
      <w:pPr>
        <w:jc w:val="center"/>
      </w:pPr>
      <w:r>
        <w:t>a</w:t>
      </w:r>
      <w:r>
        <w:rPr>
          <w:vertAlign w:val="subscript"/>
        </w:rPr>
        <w:t>2</w:t>
      </w:r>
      <w:r>
        <w:t xml:space="preserve"> &lt; (or &gt;) b</w:t>
      </w:r>
      <w:r>
        <w:rPr>
          <w:vertAlign w:val="subscript"/>
        </w:rPr>
        <w:t>2</w:t>
      </w:r>
    </w:p>
    <w:p w14:paraId="295B4B3B" w14:textId="77777777" w:rsidR="004E6B93" w:rsidRDefault="004E6B93">
      <w:pPr>
        <w:jc w:val="center"/>
      </w:pPr>
    </w:p>
    <w:p w14:paraId="2E61EC9A" w14:textId="77777777" w:rsidR="004E6B93" w:rsidRDefault="0078359C">
      <w:pPr>
        <w:rPr>
          <w:b/>
        </w:rPr>
      </w:pPr>
      <w:r>
        <w:rPr>
          <w:b/>
        </w:rPr>
        <w:t>In other words: if both b</w:t>
      </w:r>
      <w:r>
        <w:rPr>
          <w:b/>
          <w:vertAlign w:val="subscript"/>
        </w:rPr>
        <w:t>1</w:t>
      </w:r>
      <w:r>
        <w:rPr>
          <w:b/>
        </w:rPr>
        <w:t xml:space="preserve"> and b</w:t>
      </w:r>
      <w:r>
        <w:rPr>
          <w:b/>
          <w:vertAlign w:val="subscript"/>
        </w:rPr>
        <w:t>2</w:t>
      </w:r>
      <w:r>
        <w:rPr>
          <w:b/>
        </w:rPr>
        <w:t xml:space="preserve"> are above (or below) a</w:t>
      </w:r>
      <w:r>
        <w:rPr>
          <w:b/>
          <w:vertAlign w:val="subscript"/>
        </w:rPr>
        <w:t>1</w:t>
      </w:r>
      <w:r>
        <w:rPr>
          <w:b/>
        </w:rPr>
        <w:t xml:space="preserve"> and </w:t>
      </w:r>
      <w:r>
        <w:rPr>
          <w:b/>
        </w:rPr>
        <w:t>a</w:t>
      </w:r>
      <w:r>
        <w:rPr>
          <w:b/>
          <w:vertAlign w:val="subscript"/>
        </w:rPr>
        <w:t>2</w:t>
      </w:r>
      <w:r>
        <w:rPr>
          <w:b/>
        </w:rPr>
        <w:t xml:space="preserve"> respectively then rare rebalance is a better choice - otherwise choose frequent rebalance.</w:t>
      </w:r>
    </w:p>
    <w:p w14:paraId="7DBEA56F" w14:textId="77777777" w:rsidR="004E6B93" w:rsidRDefault="004E6B93">
      <w:pPr>
        <w:rPr>
          <w:b/>
        </w:rPr>
      </w:pPr>
    </w:p>
    <w:p w14:paraId="15DD9D32" w14:textId="77777777" w:rsidR="004E6B93" w:rsidRDefault="0078359C">
      <w:pPr>
        <w:jc w:val="both"/>
        <w:rPr>
          <w:color w:val="222222"/>
        </w:rPr>
      </w:pPr>
      <w:r>
        <w:rPr>
          <w:color w:val="222222"/>
        </w:rPr>
        <w:t>Stockwise, if Stock B is consistently better then Stock A in both period1 and period2, then rare rebalance is better. Which makes sense intuitively: if Stock B was better, its size is bigger at the halfway point. Because we know that it will make more prof</w:t>
      </w:r>
      <w:r>
        <w:rPr>
          <w:color w:val="222222"/>
        </w:rPr>
        <w:t>it in the second half, we want this Stock B portion to be bigger. Therefore, at halfway point, no rebalancing is the better choice.</w:t>
      </w:r>
    </w:p>
    <w:p w14:paraId="71E44307" w14:textId="77777777" w:rsidR="004E6B93" w:rsidRDefault="0078359C">
      <w:pPr>
        <w:jc w:val="both"/>
        <w:rPr>
          <w:color w:val="222222"/>
        </w:rPr>
      </w:pPr>
      <w:r>
        <w:rPr>
          <w:color w:val="222222"/>
        </w:rPr>
        <w:t>This line of thinking works in the case of the example of 10 stocks mentioned in the Motivation section. If stock A is the d</w:t>
      </w:r>
      <w:r>
        <w:rPr>
          <w:color w:val="222222"/>
        </w:rPr>
        <w:t>ying stock, and Stock B is consistently better, then rebalancing is bad. The no rebalancing or rare rebalancing is better. However, if one Stock B is not consistently better (or Stock A is not consistently worse) then others, but if they randomly fluctuate</w:t>
      </w:r>
      <w:r>
        <w:rPr>
          <w:color w:val="222222"/>
        </w:rPr>
        <w:t xml:space="preserve"> in a mean reversion style, then the opposite is true and more frequent rebalance is the better choice.</w:t>
      </w:r>
    </w:p>
    <w:p w14:paraId="5CEC68C4" w14:textId="77777777" w:rsidR="004E6B93" w:rsidRDefault="004E6B93">
      <w:pPr>
        <w:rPr>
          <w:b/>
        </w:rPr>
      </w:pPr>
    </w:p>
    <w:p w14:paraId="747BFF8A" w14:textId="77777777" w:rsidR="004E6B93" w:rsidRDefault="0078359C">
      <w:pPr>
        <w:pStyle w:val="Heading2"/>
        <w:rPr>
          <w:color w:val="CC0000"/>
        </w:rPr>
      </w:pPr>
      <w:bookmarkStart w:id="8" w:name="_maz7ibqevsly" w:colFirst="0" w:colLast="0"/>
      <w:bookmarkEnd w:id="8"/>
      <w:r>
        <w:br w:type="page"/>
      </w:r>
    </w:p>
    <w:p w14:paraId="54075741" w14:textId="77777777" w:rsidR="004E6B93" w:rsidRDefault="0078359C">
      <w:pPr>
        <w:pStyle w:val="Heading2"/>
        <w:rPr>
          <w:color w:val="CC0000"/>
        </w:rPr>
      </w:pPr>
      <w:bookmarkStart w:id="9" w:name="_pvut2kap90tf" w:colFirst="0" w:colLast="0"/>
      <w:bookmarkEnd w:id="9"/>
      <w:r>
        <w:rPr>
          <w:color w:val="CC0000"/>
        </w:rPr>
        <w:lastRenderedPageBreak/>
        <w:t>Stepping towards more complex cases</w:t>
      </w:r>
    </w:p>
    <w:p w14:paraId="38AB37D9" w14:textId="77777777" w:rsidR="004E6B93" w:rsidRDefault="004E6B93"/>
    <w:p w14:paraId="1B8A5481" w14:textId="77777777" w:rsidR="004E6B93" w:rsidRDefault="0078359C">
      <w:r>
        <w:t>If we inspect more than 2 periods then the picture soon becomes more complex. It is easy to prove then in case o</w:t>
      </w:r>
      <w:r>
        <w:t xml:space="preserve">f </w:t>
      </w:r>
      <w:r>
        <w:rPr>
          <w:i/>
        </w:rPr>
        <w:t>n</w:t>
      </w:r>
      <w:r>
        <w:t xml:space="preserve"> periods we have to compare the “frequent”</w:t>
      </w:r>
    </w:p>
    <w:p w14:paraId="24D89615" w14:textId="77777777" w:rsidR="004E6B93" w:rsidRDefault="0078359C">
      <w:r>
        <w:t xml:space="preserve"> </w:t>
      </w:r>
    </w:p>
    <w:p w14:paraId="24026678" w14:textId="77777777" w:rsidR="004E6B93" w:rsidRDefault="0078359C">
      <w:pPr>
        <w:jc w:val="center"/>
        <w:rPr>
          <w:color w:val="FF0000"/>
        </w:rPr>
      </w:pPr>
      <m:oMath>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m:t>
                    </m:r>
                  </m:sup>
                </m:sSup>
              </m:e>
              <m:sup/>
            </m:sSup>
          </m:den>
        </m:f>
      </m:oMath>
      <w:r>
        <w:rPr>
          <w:color w:val="FF0000"/>
        </w:rPr>
        <w:t xml:space="preserve"> * (2 +</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1</m:t>
            </m:r>
          </m:sub>
        </m:sSub>
      </m:oMath>
      <w:r>
        <w:rPr>
          <w:color w:val="FF0000"/>
        </w:rPr>
        <w:t>+</w:t>
      </w:r>
      <m:oMath>
        <m:sSub>
          <m:sSubPr>
            <m:ctrlPr>
              <w:rPr>
                <w:rFonts w:ascii="Cambria Math" w:hAnsi="Cambria Math"/>
                <w:color w:val="FF0000"/>
              </w:rPr>
            </m:ctrlPr>
          </m:sSubPr>
          <m:e>
            <m:r>
              <w:rPr>
                <w:rFonts w:ascii="Cambria Math" w:hAnsi="Cambria Math"/>
                <w:color w:val="FF0000"/>
              </w:rPr>
              <m:t>b</m:t>
            </m:r>
          </m:e>
          <m:sub>
            <m:r>
              <w:rPr>
                <w:rFonts w:ascii="Cambria Math" w:hAnsi="Cambria Math"/>
                <w:color w:val="FF0000"/>
              </w:rPr>
              <m:t>1</m:t>
            </m:r>
          </m:sub>
        </m:sSub>
      </m:oMath>
      <w:r>
        <w:rPr>
          <w:color w:val="FF0000"/>
        </w:rPr>
        <w:t>)  * (2 +</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2</m:t>
            </m:r>
          </m:sub>
        </m:sSub>
      </m:oMath>
      <w:r>
        <w:rPr>
          <w:color w:val="FF0000"/>
        </w:rPr>
        <w:t>+</w:t>
      </w:r>
      <m:oMath>
        <m:sSub>
          <m:sSubPr>
            <m:ctrlPr>
              <w:rPr>
                <w:rFonts w:ascii="Cambria Math" w:hAnsi="Cambria Math"/>
                <w:color w:val="FF0000"/>
              </w:rPr>
            </m:ctrlPr>
          </m:sSubPr>
          <m:e>
            <m:r>
              <w:rPr>
                <w:rFonts w:ascii="Cambria Math" w:hAnsi="Cambria Math"/>
                <w:color w:val="FF0000"/>
              </w:rPr>
              <m:t>b</m:t>
            </m:r>
          </m:e>
          <m:sub>
            <m:r>
              <w:rPr>
                <w:rFonts w:ascii="Cambria Math" w:hAnsi="Cambria Math"/>
                <w:color w:val="FF0000"/>
              </w:rPr>
              <m:t>2</m:t>
            </m:r>
          </m:sub>
        </m:sSub>
      </m:oMath>
      <w:r>
        <w:rPr>
          <w:color w:val="FF0000"/>
        </w:rPr>
        <w:t>) * … * (2 +</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oMath>
      <w:r>
        <w:rPr>
          <w:color w:val="FF0000"/>
        </w:rPr>
        <w:t>+</w:t>
      </w:r>
      <m:oMath>
        <m:sSub>
          <m:sSubPr>
            <m:ctrlPr>
              <w:rPr>
                <w:rFonts w:ascii="Cambria Math" w:hAnsi="Cambria Math"/>
                <w:color w:val="FF0000"/>
              </w:rPr>
            </m:ctrlPr>
          </m:sSubPr>
          <m:e>
            <m:r>
              <w:rPr>
                <w:rFonts w:ascii="Cambria Math" w:hAnsi="Cambria Math"/>
                <w:color w:val="FF0000"/>
              </w:rPr>
              <m:t>b</m:t>
            </m:r>
          </m:e>
          <m:sub>
            <m:r>
              <w:rPr>
                <w:rFonts w:ascii="Cambria Math" w:hAnsi="Cambria Math"/>
                <w:color w:val="FF0000"/>
              </w:rPr>
              <m:t>n</m:t>
            </m:r>
          </m:sub>
        </m:sSub>
      </m:oMath>
      <w:r>
        <w:rPr>
          <w:color w:val="FF0000"/>
        </w:rPr>
        <w:t>)</w:t>
      </w:r>
    </w:p>
    <w:p w14:paraId="0B21BDF9" w14:textId="77777777" w:rsidR="004E6B93" w:rsidRDefault="004E6B93">
      <w:pPr>
        <w:jc w:val="center"/>
        <w:rPr>
          <w:color w:val="FF0000"/>
        </w:rPr>
      </w:pPr>
    </w:p>
    <w:p w14:paraId="2881ABA9" w14:textId="77777777" w:rsidR="004E6B93" w:rsidRDefault="0078359C">
      <w:pPr>
        <w:jc w:val="center"/>
      </w:pPr>
      <w:r>
        <w:t>with the “rare”</w:t>
      </w:r>
    </w:p>
    <w:p w14:paraId="11A340B3" w14:textId="77777777" w:rsidR="004E6B93" w:rsidRDefault="004E6B93">
      <w:pPr>
        <w:rPr>
          <w:sz w:val="24"/>
          <w:szCs w:val="24"/>
        </w:rPr>
      </w:pPr>
    </w:p>
    <w:p w14:paraId="3EF5BF63" w14:textId="77777777" w:rsidR="004E6B93" w:rsidRDefault="0078359C">
      <w:pPr>
        <w:jc w:val="center"/>
        <w:rPr>
          <w:color w:val="93C47D"/>
          <w:sz w:val="28"/>
          <w:szCs w:val="28"/>
        </w:rPr>
      </w:pPr>
      <m:oMathPara>
        <m:oMath>
          <m:f>
            <m:fPr>
              <m:ctrlPr>
                <w:rPr>
                  <w:rFonts w:ascii="Cambria Math" w:hAnsi="Cambria Math"/>
                  <w:color w:val="93C47D"/>
                  <w:sz w:val="28"/>
                  <w:szCs w:val="28"/>
                </w:rPr>
              </m:ctrlPr>
            </m:fPr>
            <m:num>
              <m:r>
                <w:rPr>
                  <w:rFonts w:ascii="Cambria Math" w:hAnsi="Cambria Math"/>
                  <w:color w:val="93C47D"/>
                  <w:sz w:val="28"/>
                  <w:szCs w:val="28"/>
                </w:rPr>
                <m:t>[(1+</m:t>
              </m:r>
              <m:sSub>
                <m:sSubPr>
                  <m:ctrlPr>
                    <w:rPr>
                      <w:rFonts w:ascii="Cambria Math" w:hAnsi="Cambria Math"/>
                      <w:color w:val="93C47D"/>
                      <w:sz w:val="28"/>
                      <w:szCs w:val="28"/>
                    </w:rPr>
                  </m:ctrlPr>
                </m:sSubPr>
                <m:e>
                  <m:r>
                    <w:rPr>
                      <w:rFonts w:ascii="Cambria Math" w:hAnsi="Cambria Math"/>
                      <w:color w:val="93C47D"/>
                      <w:sz w:val="28"/>
                      <w:szCs w:val="28"/>
                    </w:rPr>
                    <m:t>a</m:t>
                  </m:r>
                </m:e>
                <m:sub>
                  <m:r>
                    <w:rPr>
                      <w:rFonts w:ascii="Cambria Math" w:hAnsi="Cambria Math"/>
                      <w:color w:val="93C47D"/>
                      <w:sz w:val="28"/>
                      <w:szCs w:val="28"/>
                    </w:rPr>
                    <m:t>1</m:t>
                  </m:r>
                </m:sub>
              </m:sSub>
              <m:r>
                <w:rPr>
                  <w:rFonts w:ascii="Cambria Math" w:hAnsi="Cambria Math"/>
                  <w:color w:val="93C47D"/>
                  <w:sz w:val="28"/>
                  <w:szCs w:val="28"/>
                </w:rPr>
                <m:t>) *  (1+</m:t>
              </m:r>
              <m:sSub>
                <m:sSubPr>
                  <m:ctrlPr>
                    <w:rPr>
                      <w:rFonts w:ascii="Cambria Math" w:hAnsi="Cambria Math"/>
                      <w:color w:val="93C47D"/>
                      <w:sz w:val="28"/>
                      <w:szCs w:val="28"/>
                    </w:rPr>
                  </m:ctrlPr>
                </m:sSubPr>
                <m:e>
                  <m:r>
                    <w:rPr>
                      <w:rFonts w:ascii="Cambria Math" w:hAnsi="Cambria Math"/>
                      <w:color w:val="93C47D"/>
                      <w:sz w:val="28"/>
                      <w:szCs w:val="28"/>
                    </w:rPr>
                    <m:t>a</m:t>
                  </m:r>
                </m:e>
                <m:sub>
                  <m:r>
                    <w:rPr>
                      <w:rFonts w:ascii="Cambria Math" w:hAnsi="Cambria Math"/>
                      <w:color w:val="93C47D"/>
                      <w:sz w:val="28"/>
                      <w:szCs w:val="28"/>
                    </w:rPr>
                    <m:t>2</m:t>
                  </m:r>
                </m:sub>
              </m:sSub>
              <m:r>
                <w:rPr>
                  <w:rFonts w:ascii="Cambria Math" w:hAnsi="Cambria Math"/>
                  <w:color w:val="93C47D"/>
                  <w:sz w:val="28"/>
                  <w:szCs w:val="28"/>
                </w:rPr>
                <m:t>) * ... * (1+</m:t>
              </m:r>
              <m:sSub>
                <m:sSubPr>
                  <m:ctrlPr>
                    <w:rPr>
                      <w:rFonts w:ascii="Cambria Math" w:hAnsi="Cambria Math"/>
                      <w:color w:val="93C47D"/>
                      <w:sz w:val="28"/>
                      <w:szCs w:val="28"/>
                    </w:rPr>
                  </m:ctrlPr>
                </m:sSubPr>
                <m:e>
                  <m:r>
                    <w:rPr>
                      <w:rFonts w:ascii="Cambria Math" w:hAnsi="Cambria Math"/>
                      <w:color w:val="93C47D"/>
                      <w:sz w:val="28"/>
                      <w:szCs w:val="28"/>
                    </w:rPr>
                    <m:t>a</m:t>
                  </m:r>
                </m:e>
                <m:sub>
                  <m:r>
                    <w:rPr>
                      <w:rFonts w:ascii="Cambria Math" w:hAnsi="Cambria Math"/>
                      <w:color w:val="93C47D"/>
                      <w:sz w:val="28"/>
                      <w:szCs w:val="28"/>
                    </w:rPr>
                    <m:t>n</m:t>
                  </m:r>
                </m:sub>
              </m:sSub>
              <m:r>
                <w:rPr>
                  <w:rFonts w:ascii="Cambria Math" w:hAnsi="Cambria Math"/>
                  <w:color w:val="93C47D"/>
                  <w:sz w:val="28"/>
                  <w:szCs w:val="28"/>
                </w:rPr>
                <m:t>)] + [(1+</m:t>
              </m:r>
              <m:sSub>
                <m:sSubPr>
                  <m:ctrlPr>
                    <w:rPr>
                      <w:rFonts w:ascii="Cambria Math" w:hAnsi="Cambria Math"/>
                      <w:color w:val="93C47D"/>
                      <w:sz w:val="28"/>
                      <w:szCs w:val="28"/>
                    </w:rPr>
                  </m:ctrlPr>
                </m:sSubPr>
                <m:e>
                  <m:r>
                    <w:rPr>
                      <w:rFonts w:ascii="Cambria Math" w:hAnsi="Cambria Math"/>
                      <w:color w:val="93C47D"/>
                      <w:sz w:val="28"/>
                      <w:szCs w:val="28"/>
                    </w:rPr>
                    <m:t>b</m:t>
                  </m:r>
                </m:e>
                <m:sub>
                  <m:r>
                    <w:rPr>
                      <w:rFonts w:ascii="Cambria Math" w:hAnsi="Cambria Math"/>
                      <w:color w:val="93C47D"/>
                      <w:sz w:val="28"/>
                      <w:szCs w:val="28"/>
                    </w:rPr>
                    <m:t>1</m:t>
                  </m:r>
                </m:sub>
              </m:sSub>
              <m:r>
                <w:rPr>
                  <w:rFonts w:ascii="Cambria Math" w:hAnsi="Cambria Math"/>
                  <w:color w:val="93C47D"/>
                  <w:sz w:val="28"/>
                  <w:szCs w:val="28"/>
                </w:rPr>
                <m:t>) *  (1+</m:t>
              </m:r>
              <m:sSub>
                <m:sSubPr>
                  <m:ctrlPr>
                    <w:rPr>
                      <w:rFonts w:ascii="Cambria Math" w:hAnsi="Cambria Math"/>
                      <w:color w:val="93C47D"/>
                      <w:sz w:val="28"/>
                      <w:szCs w:val="28"/>
                    </w:rPr>
                  </m:ctrlPr>
                </m:sSubPr>
                <m:e>
                  <m:r>
                    <w:rPr>
                      <w:rFonts w:ascii="Cambria Math" w:hAnsi="Cambria Math"/>
                      <w:color w:val="93C47D"/>
                      <w:sz w:val="28"/>
                      <w:szCs w:val="28"/>
                    </w:rPr>
                    <m:t>b</m:t>
                  </m:r>
                </m:e>
                <m:sub>
                  <m:r>
                    <w:rPr>
                      <w:rFonts w:ascii="Cambria Math" w:hAnsi="Cambria Math"/>
                      <w:color w:val="93C47D"/>
                      <w:sz w:val="28"/>
                      <w:szCs w:val="28"/>
                    </w:rPr>
                    <m:t>2</m:t>
                  </m:r>
                </m:sub>
              </m:sSub>
              <m:r>
                <w:rPr>
                  <w:rFonts w:ascii="Cambria Math" w:hAnsi="Cambria Math"/>
                  <w:color w:val="93C47D"/>
                  <w:sz w:val="28"/>
                  <w:szCs w:val="28"/>
                </w:rPr>
                <m:t>) * ... * (1+</m:t>
              </m:r>
              <m:sSub>
                <m:sSubPr>
                  <m:ctrlPr>
                    <w:rPr>
                      <w:rFonts w:ascii="Cambria Math" w:hAnsi="Cambria Math"/>
                      <w:color w:val="93C47D"/>
                      <w:sz w:val="28"/>
                      <w:szCs w:val="28"/>
                    </w:rPr>
                  </m:ctrlPr>
                </m:sSubPr>
                <m:e>
                  <m:r>
                    <w:rPr>
                      <w:rFonts w:ascii="Cambria Math" w:hAnsi="Cambria Math"/>
                      <w:color w:val="93C47D"/>
                      <w:sz w:val="28"/>
                      <w:szCs w:val="28"/>
                    </w:rPr>
                    <m:t>b</m:t>
                  </m:r>
                </m:e>
                <m:sub>
                  <m:r>
                    <w:rPr>
                      <w:rFonts w:ascii="Cambria Math" w:hAnsi="Cambria Math"/>
                      <w:color w:val="93C47D"/>
                      <w:sz w:val="28"/>
                      <w:szCs w:val="28"/>
                    </w:rPr>
                    <m:t>n</m:t>
                  </m:r>
                </m:sub>
              </m:sSub>
              <m:r>
                <w:rPr>
                  <w:rFonts w:ascii="Cambria Math" w:hAnsi="Cambria Math"/>
                  <w:color w:val="93C47D"/>
                  <w:sz w:val="28"/>
                  <w:szCs w:val="28"/>
                </w:rPr>
                <m:t xml:space="preserve">)] </m:t>
              </m:r>
            </m:num>
            <m:den>
              <m:r>
                <w:rPr>
                  <w:rFonts w:ascii="Cambria Math" w:hAnsi="Cambria Math"/>
                  <w:color w:val="93C47D"/>
                  <w:sz w:val="28"/>
                  <w:szCs w:val="28"/>
                </w:rPr>
                <m:t>2</m:t>
              </m:r>
            </m:den>
          </m:f>
        </m:oMath>
      </m:oMathPara>
    </w:p>
    <w:p w14:paraId="74BC00D1" w14:textId="77777777" w:rsidR="004E6B93" w:rsidRDefault="004E6B93">
      <w:pPr>
        <w:jc w:val="center"/>
        <w:rPr>
          <w:color w:val="93C47D"/>
        </w:rPr>
      </w:pPr>
    </w:p>
    <w:p w14:paraId="6B78598B" w14:textId="77777777" w:rsidR="004E6B93" w:rsidRDefault="0078359C">
      <w:r>
        <w:t>The problem with these expressions is that we cannot transform them into a “nice” product of different expressions which could give us an exact rule for those cases.</w:t>
      </w:r>
    </w:p>
    <w:p w14:paraId="03102103" w14:textId="77777777" w:rsidR="004E6B93" w:rsidRDefault="004E6B93"/>
    <w:p w14:paraId="1CCF18C7" w14:textId="77777777" w:rsidR="004E6B93" w:rsidRDefault="0078359C">
      <w:r>
        <w:t xml:space="preserve">For </w:t>
      </w:r>
      <w:proofErr w:type="gramStart"/>
      <w:r>
        <w:t>example</w:t>
      </w:r>
      <w:proofErr w:type="gramEnd"/>
      <w:r>
        <w:t xml:space="preserve"> for n=3 we would get that </w:t>
      </w:r>
    </w:p>
    <w:p w14:paraId="4FF655F9" w14:textId="77777777" w:rsidR="004E6B93" w:rsidRDefault="004E6B93"/>
    <w:p w14:paraId="384D0D78" w14:textId="77777777" w:rsidR="004E6B93" w:rsidRDefault="0078359C">
      <w:pPr>
        <w:jc w:val="center"/>
      </w:pPr>
      <w:r>
        <w:t xml:space="preserve">Frequent case PV &gt;=&lt; Rare case PV </w:t>
      </w:r>
    </w:p>
    <w:p w14:paraId="7F0A9087" w14:textId="77777777" w:rsidR="004E6B93" w:rsidRDefault="004E6B93">
      <w:pPr>
        <w:jc w:val="center"/>
      </w:pPr>
    </w:p>
    <w:p w14:paraId="53578660" w14:textId="77777777" w:rsidR="004E6B93" w:rsidRDefault="0078359C">
      <w:pPr>
        <w:jc w:val="center"/>
      </w:pPr>
      <w:r>
        <w:t>only if</w:t>
      </w:r>
    </w:p>
    <w:p w14:paraId="5FCAEA1D" w14:textId="77777777" w:rsidR="004E6B93" w:rsidRDefault="004E6B93">
      <w:pPr>
        <w:jc w:val="center"/>
      </w:pPr>
    </w:p>
    <w:p w14:paraId="06844131" w14:textId="77777777" w:rsidR="004E6B93" w:rsidRDefault="0078359C">
      <w:pPr>
        <w:jc w:val="center"/>
      </w:pPr>
      <w:r>
        <w:t>0 &gt;=</w:t>
      </w:r>
      <w:r>
        <w:t>&lt; (2 + a</w:t>
      </w:r>
      <w:r>
        <w:rPr>
          <w:vertAlign w:val="subscript"/>
        </w:rPr>
        <w:t xml:space="preserve">1 </w:t>
      </w:r>
      <w:r>
        <w:t>+ b</w:t>
      </w:r>
      <w:r>
        <w:rPr>
          <w:vertAlign w:val="subscript"/>
        </w:rPr>
        <w:t>1</w:t>
      </w:r>
      <w:r>
        <w:t>) * (a</w:t>
      </w:r>
      <w:r>
        <w:rPr>
          <w:vertAlign w:val="subscript"/>
        </w:rPr>
        <w:t>2</w:t>
      </w:r>
      <w:r>
        <w:t xml:space="preserve"> - b</w:t>
      </w:r>
      <w:r>
        <w:rPr>
          <w:vertAlign w:val="subscript"/>
        </w:rPr>
        <w:t>2</w:t>
      </w:r>
      <w:r>
        <w:t>) * (a</w:t>
      </w:r>
      <w:r>
        <w:rPr>
          <w:vertAlign w:val="subscript"/>
        </w:rPr>
        <w:t>3</w:t>
      </w:r>
      <w:r>
        <w:t xml:space="preserve"> - b</w:t>
      </w:r>
      <w:r>
        <w:rPr>
          <w:vertAlign w:val="subscript"/>
        </w:rPr>
        <w:t>3</w:t>
      </w:r>
      <w:r>
        <w:t xml:space="preserve">) </w:t>
      </w:r>
      <w:r>
        <w:rPr>
          <w:b/>
          <w:sz w:val="28"/>
          <w:szCs w:val="28"/>
        </w:rPr>
        <w:t>+</w:t>
      </w:r>
      <w:r>
        <w:t xml:space="preserve"> (a</w:t>
      </w:r>
      <w:r>
        <w:rPr>
          <w:vertAlign w:val="subscript"/>
        </w:rPr>
        <w:t xml:space="preserve">1 </w:t>
      </w:r>
      <w:r>
        <w:t>- b</w:t>
      </w:r>
      <w:r>
        <w:rPr>
          <w:vertAlign w:val="subscript"/>
        </w:rPr>
        <w:t>1</w:t>
      </w:r>
      <w:r>
        <w:t>) * (2 + a</w:t>
      </w:r>
      <w:r>
        <w:rPr>
          <w:vertAlign w:val="subscript"/>
        </w:rPr>
        <w:t>2</w:t>
      </w:r>
      <w:r>
        <w:t xml:space="preserve"> + b</w:t>
      </w:r>
      <w:r>
        <w:rPr>
          <w:vertAlign w:val="subscript"/>
        </w:rPr>
        <w:t>2</w:t>
      </w:r>
      <w:r>
        <w:t>) * (a</w:t>
      </w:r>
      <w:r>
        <w:rPr>
          <w:vertAlign w:val="subscript"/>
        </w:rPr>
        <w:t>3</w:t>
      </w:r>
      <w:r>
        <w:t xml:space="preserve"> - b</w:t>
      </w:r>
      <w:r>
        <w:rPr>
          <w:vertAlign w:val="subscript"/>
        </w:rPr>
        <w:t>3</w:t>
      </w:r>
      <w:r>
        <w:t xml:space="preserve">) </w:t>
      </w:r>
      <w:r>
        <w:rPr>
          <w:b/>
          <w:sz w:val="28"/>
          <w:szCs w:val="28"/>
        </w:rPr>
        <w:t>+</w:t>
      </w:r>
      <w:r>
        <w:t xml:space="preserve"> (a</w:t>
      </w:r>
      <w:r>
        <w:rPr>
          <w:vertAlign w:val="subscript"/>
        </w:rPr>
        <w:t xml:space="preserve">1 </w:t>
      </w:r>
      <w:r>
        <w:t>- b</w:t>
      </w:r>
      <w:r>
        <w:rPr>
          <w:vertAlign w:val="subscript"/>
        </w:rPr>
        <w:t>1</w:t>
      </w:r>
      <w:r>
        <w:t>) * (a</w:t>
      </w:r>
      <w:r>
        <w:rPr>
          <w:vertAlign w:val="subscript"/>
        </w:rPr>
        <w:t>2</w:t>
      </w:r>
      <w:r>
        <w:t xml:space="preserve"> - b</w:t>
      </w:r>
      <w:r>
        <w:rPr>
          <w:vertAlign w:val="subscript"/>
        </w:rPr>
        <w:t>2</w:t>
      </w:r>
      <w:r>
        <w:t>) * (2 + a</w:t>
      </w:r>
      <w:r>
        <w:rPr>
          <w:vertAlign w:val="subscript"/>
        </w:rPr>
        <w:t>3</w:t>
      </w:r>
      <w:r>
        <w:t xml:space="preserve"> + b</w:t>
      </w:r>
      <w:r>
        <w:rPr>
          <w:vertAlign w:val="subscript"/>
        </w:rPr>
        <w:t>3</w:t>
      </w:r>
      <w:r>
        <w:t>)</w:t>
      </w:r>
    </w:p>
    <w:p w14:paraId="1AC5A26F" w14:textId="77777777" w:rsidR="004E6B93" w:rsidRDefault="004E6B93">
      <w:pPr>
        <w:jc w:val="center"/>
      </w:pPr>
    </w:p>
    <w:p w14:paraId="2AF5478E" w14:textId="77777777" w:rsidR="004E6B93" w:rsidRDefault="0078359C">
      <w:r>
        <w:t>This expression has several different solutions, let’s see some examples:</w:t>
      </w:r>
    </w:p>
    <w:p w14:paraId="1EC6D427" w14:textId="77777777" w:rsidR="004E6B93" w:rsidRDefault="004E6B93"/>
    <w:p w14:paraId="4CC58D2C" w14:textId="77777777" w:rsidR="004E6B93" w:rsidRDefault="0078359C">
      <w:pPr>
        <w:jc w:val="center"/>
      </w:pPr>
      <w:r>
        <w:rPr>
          <w:noProof/>
        </w:rPr>
        <w:drawing>
          <wp:inline distT="114300" distB="114300" distL="114300" distR="114300" wp14:anchorId="22D01EB5" wp14:editId="2536B8EF">
            <wp:extent cx="6305550" cy="2209800"/>
            <wp:effectExtent l="0" t="0" r="0" b="0"/>
            <wp:docPr id="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
                    <a:srcRect/>
                    <a:stretch>
                      <a:fillRect/>
                    </a:stretch>
                  </pic:blipFill>
                  <pic:spPr>
                    <a:xfrm>
                      <a:off x="0" y="0"/>
                      <a:ext cx="6305550" cy="2209800"/>
                    </a:xfrm>
                    <a:prstGeom prst="rect">
                      <a:avLst/>
                    </a:prstGeom>
                    <a:ln/>
                  </pic:spPr>
                </pic:pic>
              </a:graphicData>
            </a:graphic>
          </wp:inline>
        </w:drawing>
      </w:r>
    </w:p>
    <w:p w14:paraId="51C5A2E1" w14:textId="77777777" w:rsidR="004E6B93" w:rsidRDefault="004E6B93"/>
    <w:p w14:paraId="26068009" w14:textId="77777777" w:rsidR="004E6B93" w:rsidRDefault="0078359C">
      <w:pPr>
        <w:jc w:val="both"/>
      </w:pPr>
      <w:r>
        <w:t>In Case1 and Case2 the only difference is b</w:t>
      </w:r>
      <w:r>
        <w:rPr>
          <w:vertAlign w:val="subscript"/>
        </w:rPr>
        <w:t>2</w:t>
      </w:r>
      <w:r>
        <w:t>: it is 10% in Case1 and 20% in Case2. As we can see the optimal rebalancing frequency differs.</w:t>
      </w:r>
    </w:p>
    <w:p w14:paraId="626A9B21" w14:textId="77777777" w:rsidR="004E6B93" w:rsidRDefault="0078359C">
      <w:pPr>
        <w:jc w:val="both"/>
      </w:pPr>
      <w:r>
        <w:t>In Case1 and Case3 the only difference is b</w:t>
      </w:r>
      <w:r>
        <w:rPr>
          <w:vertAlign w:val="subscript"/>
        </w:rPr>
        <w:t>3</w:t>
      </w:r>
      <w:r>
        <w:t>: it is 0% in Case1 and 10% in Case2. As we can see the optimal rebalancing frequency differs.</w:t>
      </w:r>
    </w:p>
    <w:p w14:paraId="2ECE343B" w14:textId="77777777" w:rsidR="004E6B93" w:rsidRDefault="0078359C">
      <w:pPr>
        <w:jc w:val="both"/>
      </w:pPr>
      <w:proofErr w:type="gramStart"/>
      <w:r>
        <w:t>However</w:t>
      </w:r>
      <w:proofErr w:type="gramEnd"/>
      <w:r>
        <w:t xml:space="preserve"> in Case2 and </w:t>
      </w:r>
      <w:r>
        <w:t>Case4 the only difference is exactly the same as in the previous paragraph: b</w:t>
      </w:r>
      <w:r>
        <w:rPr>
          <w:vertAlign w:val="subscript"/>
        </w:rPr>
        <w:t>3</w:t>
      </w:r>
      <w:r>
        <w:t xml:space="preserve"> is 0% in Case2 and 10% in Case4. As we can see the optimal rebalancing frequency is the same in these cases. </w:t>
      </w:r>
      <w:proofErr w:type="gramStart"/>
      <w:r>
        <w:t>Actually</w:t>
      </w:r>
      <w:proofErr w:type="gramEnd"/>
      <w:r>
        <w:t xml:space="preserve"> we can see in the “break-even for b</w:t>
      </w:r>
      <w:r>
        <w:rPr>
          <w:vertAlign w:val="subscript"/>
        </w:rPr>
        <w:t>3</w:t>
      </w:r>
      <w:r>
        <w:t>” row that if we fix a</w:t>
      </w:r>
      <w:r>
        <w:rPr>
          <w:vertAlign w:val="subscript"/>
        </w:rPr>
        <w:t>1</w:t>
      </w:r>
      <w:r>
        <w:t>, a</w:t>
      </w:r>
      <w:r>
        <w:rPr>
          <w:vertAlign w:val="subscript"/>
        </w:rPr>
        <w:t>2</w:t>
      </w:r>
      <w:r>
        <w:t>, a</w:t>
      </w:r>
      <w:r>
        <w:rPr>
          <w:vertAlign w:val="subscript"/>
        </w:rPr>
        <w:t>3</w:t>
      </w:r>
      <w:r>
        <w:t>, b</w:t>
      </w:r>
      <w:r>
        <w:rPr>
          <w:vertAlign w:val="subscript"/>
        </w:rPr>
        <w:t>1</w:t>
      </w:r>
      <w:r>
        <w:t xml:space="preserve"> and b</w:t>
      </w:r>
      <w:r>
        <w:rPr>
          <w:vertAlign w:val="subscript"/>
        </w:rPr>
        <w:t>2</w:t>
      </w:r>
      <w:r>
        <w:t xml:space="preserve"> then for any b</w:t>
      </w:r>
      <w:r>
        <w:rPr>
          <w:vertAlign w:val="subscript"/>
        </w:rPr>
        <w:t>3</w:t>
      </w:r>
      <w:r>
        <w:t xml:space="preserve"> that is greater than -37% the frequent rebalancing will be the winner.</w:t>
      </w:r>
    </w:p>
    <w:p w14:paraId="37B67CD9" w14:textId="77777777" w:rsidR="004E6B93" w:rsidRDefault="0078359C">
      <w:pPr>
        <w:jc w:val="both"/>
      </w:pPr>
      <w:r>
        <w:lastRenderedPageBreak/>
        <w:t xml:space="preserve">In this example the break-even point is (indeed) exactly -37% and someone may think that it’s the sign of an exact rule in the background - but it’s </w:t>
      </w:r>
      <w:r>
        <w:t>just by pure chance. In Case7 and Case8 the only difference is b</w:t>
      </w:r>
      <w:r>
        <w:rPr>
          <w:vertAlign w:val="subscript"/>
        </w:rPr>
        <w:t>3</w:t>
      </w:r>
      <w:r>
        <w:t xml:space="preserve"> again and the break-even point in this case is exactly 70/2367 = 2.957%. We can see that this value isn’t in a clear relationship with 3%, 3%, 0%, -2% and -4%.</w:t>
      </w:r>
    </w:p>
    <w:p w14:paraId="6EE05A42" w14:textId="77777777" w:rsidR="004E6B93" w:rsidRDefault="004E6B93">
      <w:pPr>
        <w:jc w:val="both"/>
      </w:pPr>
    </w:p>
    <w:p w14:paraId="2FF3967B" w14:textId="77777777" w:rsidR="004E6B93" w:rsidRDefault="0078359C">
      <w:pPr>
        <w:jc w:val="both"/>
      </w:pPr>
      <w:r>
        <w:t>Actually from the above examp</w:t>
      </w:r>
      <w:r>
        <w:t xml:space="preserve">les we can also learn that in some cases we have very extreme break-even points (compare 5%, 10%, 15%, 20% yields in Case2 with the break-even point of -37%) - which means that in practice we more probably face a difference between the results of frequent </w:t>
      </w:r>
      <w:r>
        <w:t xml:space="preserve">and rare rebalances if there is an extremely volatile stock in the portfolio (e.g. a penny-stock… we will see it later).  </w:t>
      </w:r>
    </w:p>
    <w:p w14:paraId="2EE0B3F1" w14:textId="77777777" w:rsidR="004E6B93" w:rsidRDefault="004E6B93">
      <w:pPr>
        <w:jc w:val="both"/>
      </w:pPr>
    </w:p>
    <w:p w14:paraId="7D63F46C" w14:textId="77777777" w:rsidR="004E6B93" w:rsidRDefault="0078359C">
      <w:pPr>
        <w:jc w:val="both"/>
        <w:rPr>
          <w:color w:val="222222"/>
        </w:rPr>
      </w:pPr>
      <w:r>
        <w:rPr>
          <w:color w:val="222222"/>
        </w:rPr>
        <w:t>Again, the table confirms that if one stock is consistently better (e.g. momentum stock in a bullish market) in every period (Case 1</w:t>
      </w:r>
      <w:r>
        <w:rPr>
          <w:color w:val="222222"/>
        </w:rPr>
        <w:t xml:space="preserve">) then Rare rebalance is the winner. </w:t>
      </w:r>
    </w:p>
    <w:p w14:paraId="7EA4C532" w14:textId="77777777" w:rsidR="004E6B93" w:rsidRDefault="0078359C">
      <w:pPr>
        <w:jc w:val="both"/>
        <w:rPr>
          <w:color w:val="222222"/>
        </w:rPr>
      </w:pPr>
      <w:r>
        <w:rPr>
          <w:color w:val="222222"/>
        </w:rPr>
        <w:t>Don't rebalance the momentum winners, but let them grow. Similarly, don't rebalance the momentum losers, but let them fall.</w:t>
      </w:r>
    </w:p>
    <w:p w14:paraId="122E1A02" w14:textId="77777777" w:rsidR="004E6B93" w:rsidRDefault="0078359C">
      <w:pPr>
        <w:jc w:val="both"/>
        <w:rPr>
          <w:color w:val="222222"/>
        </w:rPr>
      </w:pPr>
      <w:r>
        <w:rPr>
          <w:color w:val="222222"/>
        </w:rPr>
        <w:t>However, if the performance of the stocks in the periods alternate (Case 2: A is better in per</w:t>
      </w:r>
      <w:r>
        <w:rPr>
          <w:color w:val="222222"/>
        </w:rPr>
        <w:t>iod1, B is better in period2, A is better in period3) then Frequent rebalance is</w:t>
      </w:r>
    </w:p>
    <w:p w14:paraId="0DA88889" w14:textId="77777777" w:rsidR="004E6B93" w:rsidRDefault="0078359C">
      <w:pPr>
        <w:jc w:val="both"/>
        <w:rPr>
          <w:color w:val="222222"/>
        </w:rPr>
      </w:pPr>
      <w:r>
        <w:rPr>
          <w:color w:val="222222"/>
        </w:rPr>
        <w:t xml:space="preserve">the winner. In a choppy market environment, we should fade the big up spikes of the momentum stocks, and buy them if they are undervalued because of a down spike. Harvest the </w:t>
      </w:r>
      <w:r>
        <w:rPr>
          <w:color w:val="222222"/>
        </w:rPr>
        <w:t>noise and the volatility.</w:t>
      </w:r>
    </w:p>
    <w:p w14:paraId="158AA007" w14:textId="77777777" w:rsidR="004E6B93" w:rsidRDefault="004E6B93">
      <w:pPr>
        <w:jc w:val="both"/>
      </w:pPr>
    </w:p>
    <w:p w14:paraId="0229DF20" w14:textId="77777777" w:rsidR="004E6B93" w:rsidRDefault="004E6B93">
      <w:pPr>
        <w:jc w:val="both"/>
      </w:pPr>
    </w:p>
    <w:p w14:paraId="1B61730B" w14:textId="77777777" w:rsidR="004E6B93" w:rsidRDefault="0078359C">
      <w:pPr>
        <w:jc w:val="both"/>
      </w:pPr>
      <w:r>
        <w:t>Another instructive example could be the following one with 10 different stocks and 10 periods:</w:t>
      </w:r>
    </w:p>
    <w:p w14:paraId="04872B1E" w14:textId="77777777" w:rsidR="004E6B93" w:rsidRDefault="004E6B93">
      <w:pPr>
        <w:jc w:val="both"/>
      </w:pPr>
    </w:p>
    <w:p w14:paraId="508DD844" w14:textId="77777777" w:rsidR="004E6B93" w:rsidRDefault="0078359C">
      <w:pPr>
        <w:jc w:val="both"/>
      </w:pPr>
      <w:r>
        <w:rPr>
          <w:noProof/>
        </w:rPr>
        <w:drawing>
          <wp:inline distT="114300" distB="114300" distL="114300" distR="114300" wp14:anchorId="3F615EA0" wp14:editId="1577E3A3">
            <wp:extent cx="7052400" cy="2146300"/>
            <wp:effectExtent l="0" t="0" r="0" b="0"/>
            <wp:docPr id="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
                    <a:srcRect/>
                    <a:stretch>
                      <a:fillRect/>
                    </a:stretch>
                  </pic:blipFill>
                  <pic:spPr>
                    <a:xfrm>
                      <a:off x="0" y="0"/>
                      <a:ext cx="7052400" cy="2146300"/>
                    </a:xfrm>
                    <a:prstGeom prst="rect">
                      <a:avLst/>
                    </a:prstGeom>
                    <a:ln/>
                  </pic:spPr>
                </pic:pic>
              </a:graphicData>
            </a:graphic>
          </wp:inline>
        </w:drawing>
      </w:r>
    </w:p>
    <w:p w14:paraId="6CAE95A5" w14:textId="77777777" w:rsidR="004E6B93" w:rsidRDefault="004E6B93">
      <w:pPr>
        <w:jc w:val="both"/>
      </w:pPr>
    </w:p>
    <w:p w14:paraId="00AFDF32" w14:textId="77777777" w:rsidR="004E6B93" w:rsidRDefault="0078359C">
      <w:pPr>
        <w:jc w:val="both"/>
      </w:pPr>
      <w:r>
        <w:rPr>
          <w:noProof/>
        </w:rPr>
        <w:drawing>
          <wp:inline distT="114300" distB="114300" distL="114300" distR="114300" wp14:anchorId="3364B0F1" wp14:editId="38E4E764">
            <wp:extent cx="7052400" cy="2146300"/>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7052400" cy="2146300"/>
                    </a:xfrm>
                    <a:prstGeom prst="rect">
                      <a:avLst/>
                    </a:prstGeom>
                    <a:ln/>
                  </pic:spPr>
                </pic:pic>
              </a:graphicData>
            </a:graphic>
          </wp:inline>
        </w:drawing>
      </w:r>
    </w:p>
    <w:p w14:paraId="76122534" w14:textId="77777777" w:rsidR="004E6B93" w:rsidRDefault="004E6B93">
      <w:pPr>
        <w:jc w:val="both"/>
      </w:pPr>
    </w:p>
    <w:p w14:paraId="312A23E5" w14:textId="77777777" w:rsidR="004E6B93" w:rsidRDefault="0078359C">
      <w:pPr>
        <w:jc w:val="both"/>
      </w:pPr>
      <w:r>
        <w:lastRenderedPageBreak/>
        <w:t>As we can see the only difference between Case A and B that we shifted the yields of Stock2, Stock3, Stock4, Stock5 and Stock</w:t>
      </w:r>
      <w:r>
        <w:t>6 by one period. The PV of rare rebalance remains the same (1.0715) because of this shift while PV of frequent rebalance has increased. In Case A rare rebalance is the better choice - in Case B the more frequent rebalance.</w:t>
      </w:r>
    </w:p>
    <w:p w14:paraId="38AFCBB4" w14:textId="77777777" w:rsidR="004E6B93" w:rsidRDefault="004E6B93">
      <w:pPr>
        <w:jc w:val="both"/>
      </w:pPr>
    </w:p>
    <w:p w14:paraId="4B26851E" w14:textId="77777777" w:rsidR="004E6B93" w:rsidRDefault="0078359C">
      <w:pPr>
        <w:jc w:val="both"/>
      </w:pPr>
      <w:r>
        <w:t>Again, the table confirms that i</w:t>
      </w:r>
      <w:r>
        <w:t xml:space="preserve">f the stocks are moving together (Case A: if one stock is up, all the others are up) then Rare rebalance is the winner. </w:t>
      </w:r>
    </w:p>
    <w:p w14:paraId="1FCDA9BD" w14:textId="77777777" w:rsidR="004E6B93" w:rsidRDefault="0078359C">
      <w:pPr>
        <w:jc w:val="both"/>
      </w:pPr>
      <w:r>
        <w:t>However, if the stocks have independent performances, and half of the stocks are down when the other half is up, then there is a profit</w:t>
      </w:r>
      <w:r>
        <w:t xml:space="preserve"> to be made by harvesting this idiosyncratic volatility. Look at Case B and period 2. At the end of period1, it is worth rebalancing because we foresee that those stocks which lost value in period1 will be big gainers in period2. And those stocks which spi</w:t>
      </w:r>
      <w:r>
        <w:t>ked up by 4% will fall by -2%, therefore rebalancing their profit and lessen their weight is well worth it.</w:t>
      </w:r>
    </w:p>
    <w:p w14:paraId="2FF58955" w14:textId="77777777" w:rsidR="004E6B93" w:rsidRDefault="0078359C">
      <w:pPr>
        <w:jc w:val="both"/>
      </w:pPr>
      <w:r>
        <w:t>A choppy, non-trending, sideways market is a perfect flowerbed for these kinds of stocks. In that case, the mean reversion of the rebalancing can br</w:t>
      </w:r>
      <w:r>
        <w:t>ing extra profit. However, it is akin to a volatility harvesting method. A small positive carry which in general gives overperformance. Yes. The more frequent rebalancing brings overperformance in terms of CAGR. But there should be a catch, a hidden risk s</w:t>
      </w:r>
      <w:r>
        <w:t xml:space="preserve">omewhere. Where is it? It is exactly the risk which is outlined in the motivation chapter. If one stock is going to die by consistently dropping its value to zero, the mean reversion style frequent rebalancing strategy will underperform. The extra risk is </w:t>
      </w:r>
      <w:r>
        <w:t xml:space="preserve">compensated by the extra profit. The extra profit is balanced by the extra risk. As </w:t>
      </w:r>
      <w:proofErr w:type="gramStart"/>
      <w:r>
        <w:t>expected</w:t>
      </w:r>
      <w:proofErr w:type="gramEnd"/>
      <w:r>
        <w:t>.</w:t>
      </w:r>
    </w:p>
    <w:p w14:paraId="79A25B44" w14:textId="77777777" w:rsidR="004E6B93" w:rsidRDefault="004E6B93">
      <w:pPr>
        <w:jc w:val="both"/>
      </w:pPr>
    </w:p>
    <w:p w14:paraId="6494344A" w14:textId="77777777" w:rsidR="004E6B93" w:rsidRDefault="004E6B93">
      <w:pPr>
        <w:jc w:val="both"/>
      </w:pPr>
    </w:p>
    <w:p w14:paraId="24A6ED00" w14:textId="77777777" w:rsidR="004E6B93" w:rsidRDefault="0078359C">
      <w:pPr>
        <w:jc w:val="both"/>
        <w:rPr>
          <w:rFonts w:ascii="Courier New" w:eastAsia="Courier New" w:hAnsi="Courier New" w:cs="Courier New"/>
          <w:color w:val="666666"/>
        </w:rPr>
      </w:pPr>
      <w:r>
        <w:rPr>
          <w:rFonts w:ascii="Courier New" w:eastAsia="Courier New" w:hAnsi="Courier New" w:cs="Courier New"/>
          <w:color w:val="666666"/>
        </w:rPr>
        <w:t xml:space="preserve">Without any formal mathematical or physical provement consider the following heuristic interpretation of our findings: let’s think about periodical %changes as </w:t>
      </w:r>
      <w:r>
        <w:rPr>
          <w:rFonts w:ascii="Courier New" w:eastAsia="Courier New" w:hAnsi="Courier New" w:cs="Courier New"/>
          <w:color w:val="666666"/>
        </w:rPr>
        <w:t>waves in the water. If the waves are moving “nicely” together then we don’t have to intervene to get higher waves because they have a “constructive interference” - while if they work against each other (or chaotic) then they imply a “destructive interferen</w:t>
      </w:r>
      <w:r>
        <w:rPr>
          <w:rFonts w:ascii="Courier New" w:eastAsia="Courier New" w:hAnsi="Courier New" w:cs="Courier New"/>
          <w:color w:val="666666"/>
        </w:rPr>
        <w:t xml:space="preserve">ce” and we have to throw a pebble in the water again and again to reach higher waves. </w:t>
      </w:r>
    </w:p>
    <w:p w14:paraId="32DEE4FA" w14:textId="77777777" w:rsidR="004E6B93" w:rsidRDefault="004E6B93">
      <w:pPr>
        <w:jc w:val="both"/>
        <w:rPr>
          <w:rFonts w:ascii="Courier New" w:eastAsia="Courier New" w:hAnsi="Courier New" w:cs="Courier New"/>
          <w:color w:val="666666"/>
        </w:rPr>
      </w:pPr>
    </w:p>
    <w:p w14:paraId="2C032BB4" w14:textId="77777777" w:rsidR="004E6B93" w:rsidRDefault="0078359C">
      <w:pPr>
        <w:jc w:val="both"/>
        <w:rPr>
          <w:rFonts w:ascii="Courier New" w:eastAsia="Courier New" w:hAnsi="Courier New" w:cs="Courier New"/>
          <w:color w:val="666666"/>
        </w:rPr>
      </w:pPr>
      <w:proofErr w:type="gramStart"/>
      <w:r>
        <w:rPr>
          <w:rFonts w:ascii="Courier New" w:eastAsia="Courier New" w:hAnsi="Courier New" w:cs="Courier New"/>
          <w:color w:val="666666"/>
        </w:rPr>
        <w:t>Of course</w:t>
      </w:r>
      <w:proofErr w:type="gramEnd"/>
      <w:r>
        <w:rPr>
          <w:rFonts w:ascii="Courier New" w:eastAsia="Courier New" w:hAnsi="Courier New" w:cs="Courier New"/>
          <w:color w:val="666666"/>
        </w:rPr>
        <w:t xml:space="preserve"> it’s not a clear rule and there is not even a clear definition of “nicely” and “chaotic” but this high level heuristic interpretation may indicate how complex</w:t>
      </w:r>
      <w:r>
        <w:rPr>
          <w:rFonts w:ascii="Courier New" w:eastAsia="Courier New" w:hAnsi="Courier New" w:cs="Courier New"/>
          <w:color w:val="666666"/>
        </w:rPr>
        <w:t xml:space="preserve"> is this problem and how many different outcomes can be achieved sometimes with only a small change.</w:t>
      </w:r>
    </w:p>
    <w:p w14:paraId="10B06CEA" w14:textId="77777777" w:rsidR="004E6B93" w:rsidRDefault="004E6B93">
      <w:pPr>
        <w:jc w:val="both"/>
      </w:pPr>
    </w:p>
    <w:p w14:paraId="5B4EFC49" w14:textId="77777777" w:rsidR="004E6B93" w:rsidRDefault="004E6B93">
      <w:pPr>
        <w:jc w:val="both"/>
      </w:pPr>
    </w:p>
    <w:p w14:paraId="00316DF7" w14:textId="77777777" w:rsidR="004E6B93" w:rsidRDefault="0078359C">
      <w:pPr>
        <w:pStyle w:val="Heading2"/>
        <w:jc w:val="both"/>
        <w:rPr>
          <w:color w:val="CC0000"/>
        </w:rPr>
      </w:pPr>
      <w:bookmarkStart w:id="10" w:name="_u5ehc9c8ib5" w:colFirst="0" w:colLast="0"/>
      <w:bookmarkEnd w:id="10"/>
      <w:r>
        <w:rPr>
          <w:color w:val="CC0000"/>
        </w:rPr>
        <w:t>Result of simulations</w:t>
      </w:r>
    </w:p>
    <w:p w14:paraId="0354505C" w14:textId="77777777" w:rsidR="004E6B93" w:rsidRDefault="004E6B93">
      <w:pPr>
        <w:jc w:val="both"/>
        <w:rPr>
          <w:rFonts w:ascii="Trebuchet MS" w:eastAsia="Trebuchet MS" w:hAnsi="Trebuchet MS" w:cs="Trebuchet MS"/>
          <w:b/>
          <w:color w:val="CC0000"/>
          <w:sz w:val="26"/>
          <w:szCs w:val="26"/>
        </w:rPr>
      </w:pPr>
    </w:p>
    <w:p w14:paraId="549B92AB" w14:textId="77777777" w:rsidR="004E6B93" w:rsidRDefault="0078359C">
      <w:pPr>
        <w:jc w:val="both"/>
      </w:pPr>
      <w:r>
        <w:t xml:space="preserve">Someone may think that these %changes are not realistic ones and in real life we would get different results. </w:t>
      </w:r>
      <w:proofErr w:type="gramStart"/>
      <w:r>
        <w:t>Therefore</w:t>
      </w:r>
      <w:proofErr w:type="gramEnd"/>
      <w:r>
        <w:t xml:space="preserve"> I made 5000 simulation with 10 stocks and 100 periods. In Case A I rebalanced in every period while in Case B only in every 10th period.</w:t>
      </w:r>
      <w:r>
        <w:t xml:space="preserve"> All 1000 %changes in each scenario were normal distributed random numbers (with a mean of 0 and standard deviation of 1).</w:t>
      </w:r>
    </w:p>
    <w:p w14:paraId="6F5689A4" w14:textId="77777777" w:rsidR="004E6B93" w:rsidRDefault="004E6B93">
      <w:pPr>
        <w:jc w:val="both"/>
      </w:pPr>
    </w:p>
    <w:p w14:paraId="65EB4932" w14:textId="77777777" w:rsidR="004E6B93" w:rsidRDefault="0078359C">
      <w:pPr>
        <w:jc w:val="both"/>
      </w:pPr>
      <w:r>
        <w:t>I checked at the end of every 10th period whether frequent (Case A) or rare (Case B) rebalance led to a better result.</w:t>
      </w:r>
    </w:p>
    <w:p w14:paraId="0E63DD4E" w14:textId="77777777" w:rsidR="004E6B93" w:rsidRDefault="004E6B93">
      <w:pPr>
        <w:jc w:val="both"/>
      </w:pPr>
    </w:p>
    <w:p w14:paraId="282DC085" w14:textId="77777777" w:rsidR="004E6B93" w:rsidRDefault="0078359C">
      <w:pPr>
        <w:jc w:val="both"/>
      </w:pPr>
      <w:r>
        <w:rPr>
          <w:noProof/>
        </w:rPr>
        <w:lastRenderedPageBreak/>
        <w:drawing>
          <wp:inline distT="114300" distB="114300" distL="114300" distR="114300" wp14:anchorId="408DB900" wp14:editId="17FF0E64">
            <wp:extent cx="7052400" cy="977900"/>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7052400" cy="977900"/>
                    </a:xfrm>
                    <a:prstGeom prst="rect">
                      <a:avLst/>
                    </a:prstGeom>
                    <a:ln/>
                  </pic:spPr>
                </pic:pic>
              </a:graphicData>
            </a:graphic>
          </wp:inline>
        </w:drawing>
      </w:r>
    </w:p>
    <w:p w14:paraId="7E3F7738" w14:textId="77777777" w:rsidR="004E6B93" w:rsidRDefault="004E6B93">
      <w:pPr>
        <w:jc w:val="both"/>
      </w:pPr>
    </w:p>
    <w:p w14:paraId="63CD956E" w14:textId="77777777" w:rsidR="004E6B93" w:rsidRDefault="0078359C">
      <w:pPr>
        <w:jc w:val="both"/>
      </w:pPr>
      <w:r>
        <w:rPr>
          <w:b/>
        </w:rPr>
        <w:t>According</w:t>
      </w:r>
      <w:r>
        <w:rPr>
          <w:b/>
        </w:rPr>
        <w:t xml:space="preserve"> to these results it is clear that there is no exact rule in real life</w:t>
      </w:r>
      <w:r>
        <w:t xml:space="preserve"> (at least for randomly selected stocks. Someone may say the picture would be different for stocks selected from a given industry or with similar risk-profile. We will soon check real wo</w:t>
      </w:r>
      <w:r>
        <w:t>rld results regarding adult stocks).</w:t>
      </w:r>
    </w:p>
    <w:p w14:paraId="60EA80FD" w14:textId="77777777" w:rsidR="004E6B93" w:rsidRDefault="004E6B93">
      <w:pPr>
        <w:jc w:val="both"/>
      </w:pPr>
    </w:p>
    <w:p w14:paraId="1F63568F" w14:textId="77777777" w:rsidR="004E6B93" w:rsidRDefault="0078359C">
      <w:pPr>
        <w:jc w:val="both"/>
      </w:pPr>
      <w:proofErr w:type="gramStart"/>
      <w:r>
        <w:t>However</w:t>
      </w:r>
      <w:proofErr w:type="gramEnd"/>
      <w:r>
        <w:t xml:space="preserve"> the results of the above table are somehow interesting because at any period frequent rebalancing could reach 52-53% winratio.</w:t>
      </w:r>
    </w:p>
    <w:p w14:paraId="40FC6DF6" w14:textId="77777777" w:rsidR="004E6B93" w:rsidRDefault="004E6B93">
      <w:pPr>
        <w:jc w:val="both"/>
      </w:pPr>
    </w:p>
    <w:p w14:paraId="2F13512E" w14:textId="77777777" w:rsidR="004E6B93" w:rsidRDefault="0078359C">
      <w:pPr>
        <w:jc w:val="both"/>
      </w:pPr>
      <w:r>
        <w:t>The next table shows that out of the 5000 scenarios there were 954 (19.1%) where f</w:t>
      </w:r>
      <w:r>
        <w:t xml:space="preserve">requent rebalance performed better after 10, 20, …, 90 and 100 periods as well. </w:t>
      </w:r>
      <w:proofErr w:type="gramStart"/>
      <w:r>
        <w:rPr>
          <w:color w:val="222222"/>
          <w:highlight w:val="white"/>
        </w:rPr>
        <w:t>It</w:t>
      </w:r>
      <w:proofErr w:type="gramEnd"/>
      <w:r>
        <w:rPr>
          <w:color w:val="222222"/>
          <w:highlight w:val="white"/>
        </w:rPr>
        <w:t xml:space="preserve"> strengths the theorem that in terms of profit (but not risk) in general choosing frequent rebalance is slightly a better choice.</w:t>
      </w:r>
    </w:p>
    <w:p w14:paraId="131E313F" w14:textId="77777777" w:rsidR="004E6B93" w:rsidRDefault="004E6B93">
      <w:pPr>
        <w:jc w:val="both"/>
      </w:pPr>
    </w:p>
    <w:p w14:paraId="08540812" w14:textId="77777777" w:rsidR="004E6B93" w:rsidRDefault="0078359C">
      <w:pPr>
        <w:jc w:val="both"/>
      </w:pPr>
      <w:r>
        <w:rPr>
          <w:noProof/>
        </w:rPr>
        <w:drawing>
          <wp:inline distT="114300" distB="114300" distL="114300" distR="114300" wp14:anchorId="2ED7E08E" wp14:editId="2ACE7357">
            <wp:extent cx="7052400" cy="914400"/>
            <wp:effectExtent l="0" t="0" r="0" b="0"/>
            <wp:docPr id="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7052400" cy="914400"/>
                    </a:xfrm>
                    <a:prstGeom prst="rect">
                      <a:avLst/>
                    </a:prstGeom>
                    <a:ln/>
                  </pic:spPr>
                </pic:pic>
              </a:graphicData>
            </a:graphic>
          </wp:inline>
        </w:drawing>
      </w:r>
    </w:p>
    <w:p w14:paraId="1AC64746" w14:textId="77777777" w:rsidR="004E6B93" w:rsidRDefault="004E6B93">
      <w:pPr>
        <w:jc w:val="both"/>
      </w:pPr>
    </w:p>
    <w:p w14:paraId="43A90CC4" w14:textId="77777777" w:rsidR="004E6B93" w:rsidRDefault="004E6B93">
      <w:pPr>
        <w:jc w:val="both"/>
      </w:pPr>
    </w:p>
    <w:p w14:paraId="475B87DB" w14:textId="77777777" w:rsidR="004E6B93" w:rsidRDefault="0078359C">
      <w:pPr>
        <w:jc w:val="both"/>
      </w:pPr>
      <w:r>
        <w:t>Someone may think that normal distribut</w:t>
      </w:r>
      <w:r>
        <w:t xml:space="preserve">ed random numbers with a mean of 0 and standard deviation of 1 are not realistic because real life values have a positive mean and different standard deviance. </w:t>
      </w:r>
      <w:proofErr w:type="gramStart"/>
      <w:r>
        <w:t>Therefore</w:t>
      </w:r>
      <w:proofErr w:type="gramEnd"/>
      <w:r>
        <w:t xml:space="preserve"> I repeated the same calculations with three more setups. </w:t>
      </w:r>
    </w:p>
    <w:p w14:paraId="1D77AF6F" w14:textId="77777777" w:rsidR="004E6B93" w:rsidRDefault="004E6B93">
      <w:pPr>
        <w:jc w:val="both"/>
      </w:pPr>
    </w:p>
    <w:p w14:paraId="1391E4C2" w14:textId="77777777" w:rsidR="004E6B93" w:rsidRDefault="0078359C">
      <w:pPr>
        <w:jc w:val="both"/>
      </w:pPr>
      <w:r>
        <w:t xml:space="preserve">First with a mean of 0.16% </w:t>
      </w:r>
      <w:r>
        <w:t>and a standard deviation of 2.12% (these values were derived from AAPL’s performance for the last 16 years). The results were very similar:</w:t>
      </w:r>
    </w:p>
    <w:p w14:paraId="5F019920" w14:textId="77777777" w:rsidR="004E6B93" w:rsidRDefault="004E6B93">
      <w:pPr>
        <w:jc w:val="both"/>
      </w:pPr>
    </w:p>
    <w:p w14:paraId="5B5C58BC" w14:textId="77777777" w:rsidR="004E6B93" w:rsidRDefault="004E6B93">
      <w:pPr>
        <w:jc w:val="both"/>
      </w:pPr>
    </w:p>
    <w:p w14:paraId="00C504A9" w14:textId="77777777" w:rsidR="004E6B93" w:rsidRDefault="0078359C">
      <w:pPr>
        <w:jc w:val="both"/>
      </w:pPr>
      <w:r>
        <w:rPr>
          <w:noProof/>
        </w:rPr>
        <w:drawing>
          <wp:inline distT="114300" distB="114300" distL="114300" distR="114300" wp14:anchorId="4D2B9C95" wp14:editId="1D22E103">
            <wp:extent cx="7052400" cy="9779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7052400" cy="977900"/>
                    </a:xfrm>
                    <a:prstGeom prst="rect">
                      <a:avLst/>
                    </a:prstGeom>
                    <a:ln/>
                  </pic:spPr>
                </pic:pic>
              </a:graphicData>
            </a:graphic>
          </wp:inline>
        </w:drawing>
      </w:r>
    </w:p>
    <w:p w14:paraId="21506B23" w14:textId="77777777" w:rsidR="004E6B93" w:rsidRDefault="004E6B93">
      <w:pPr>
        <w:jc w:val="both"/>
      </w:pPr>
    </w:p>
    <w:p w14:paraId="252AE9D8" w14:textId="77777777" w:rsidR="004E6B93" w:rsidRDefault="004E6B93">
      <w:pPr>
        <w:jc w:val="both"/>
      </w:pPr>
    </w:p>
    <w:p w14:paraId="7A59D76C" w14:textId="77777777" w:rsidR="004E6B93" w:rsidRDefault="0078359C">
      <w:pPr>
        <w:jc w:val="both"/>
      </w:pPr>
      <w:r>
        <w:rPr>
          <w:noProof/>
        </w:rPr>
        <w:drawing>
          <wp:inline distT="114300" distB="114300" distL="114300" distR="114300" wp14:anchorId="5E1F049C" wp14:editId="6700AA50">
            <wp:extent cx="7052400" cy="91440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7052400" cy="914400"/>
                    </a:xfrm>
                    <a:prstGeom prst="rect">
                      <a:avLst/>
                    </a:prstGeom>
                    <a:ln/>
                  </pic:spPr>
                </pic:pic>
              </a:graphicData>
            </a:graphic>
          </wp:inline>
        </w:drawing>
      </w:r>
    </w:p>
    <w:p w14:paraId="63AA4B85" w14:textId="77777777" w:rsidR="004E6B93" w:rsidRDefault="004E6B93">
      <w:pPr>
        <w:jc w:val="both"/>
      </w:pPr>
    </w:p>
    <w:p w14:paraId="17202A86" w14:textId="77777777" w:rsidR="004E6B93" w:rsidRDefault="0078359C">
      <w:pPr>
        <w:jc w:val="both"/>
      </w:pPr>
      <w:r>
        <w:t>Second with a mean of 0.04% and a standard deviation of 1.14% (these values were derived from SPY’s performance for the last 16 years). The results were very similar again:</w:t>
      </w:r>
    </w:p>
    <w:p w14:paraId="480C1E29" w14:textId="77777777" w:rsidR="004E6B93" w:rsidRDefault="004E6B93">
      <w:pPr>
        <w:jc w:val="both"/>
      </w:pPr>
    </w:p>
    <w:p w14:paraId="13EDEFAD" w14:textId="77777777" w:rsidR="004E6B93" w:rsidRDefault="0078359C">
      <w:pPr>
        <w:jc w:val="both"/>
      </w:pPr>
      <w:r>
        <w:rPr>
          <w:noProof/>
        </w:rPr>
        <w:lastRenderedPageBreak/>
        <w:drawing>
          <wp:inline distT="114300" distB="114300" distL="114300" distR="114300" wp14:anchorId="1F92B082" wp14:editId="598A1EDA">
            <wp:extent cx="7052400" cy="9779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7052400" cy="977900"/>
                    </a:xfrm>
                    <a:prstGeom prst="rect">
                      <a:avLst/>
                    </a:prstGeom>
                    <a:ln/>
                  </pic:spPr>
                </pic:pic>
              </a:graphicData>
            </a:graphic>
          </wp:inline>
        </w:drawing>
      </w:r>
    </w:p>
    <w:p w14:paraId="2A107F17" w14:textId="77777777" w:rsidR="004E6B93" w:rsidRDefault="004E6B93">
      <w:pPr>
        <w:jc w:val="both"/>
      </w:pPr>
    </w:p>
    <w:p w14:paraId="55E85485" w14:textId="77777777" w:rsidR="004E6B93" w:rsidRDefault="0078359C">
      <w:pPr>
        <w:jc w:val="both"/>
      </w:pPr>
      <w:r>
        <w:rPr>
          <w:noProof/>
        </w:rPr>
        <w:drawing>
          <wp:inline distT="114300" distB="114300" distL="114300" distR="114300" wp14:anchorId="22CE70CE" wp14:editId="64CA5FFB">
            <wp:extent cx="7052400" cy="90170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7052400" cy="901700"/>
                    </a:xfrm>
                    <a:prstGeom prst="rect">
                      <a:avLst/>
                    </a:prstGeom>
                    <a:ln/>
                  </pic:spPr>
                </pic:pic>
              </a:graphicData>
            </a:graphic>
          </wp:inline>
        </w:drawing>
      </w:r>
    </w:p>
    <w:p w14:paraId="4CFF50E0" w14:textId="77777777" w:rsidR="004E6B93" w:rsidRDefault="004E6B93">
      <w:pPr>
        <w:jc w:val="both"/>
      </w:pPr>
    </w:p>
    <w:p w14:paraId="79CE840D" w14:textId="77777777" w:rsidR="004E6B93" w:rsidRDefault="0078359C">
      <w:pPr>
        <w:jc w:val="both"/>
      </w:pPr>
      <w:proofErr w:type="gramStart"/>
      <w:r>
        <w:t>Finally</w:t>
      </w:r>
      <w:proofErr w:type="gramEnd"/>
      <w:r>
        <w:t xml:space="preserve"> I mixed “normal” GameChanger-style assumptions with dying stock-styl</w:t>
      </w:r>
      <w:r>
        <w:t>e assumptions - i.e. I used the above mentioned AAPL-based random numbers in 90% of the periods, but random numbers with a mean of -5% and a standard deviation of 2% in the remaining 10% of the periods. Results were very similar again.</w:t>
      </w:r>
    </w:p>
    <w:p w14:paraId="02ACEF65" w14:textId="77777777" w:rsidR="004E6B93" w:rsidRDefault="004E6B93">
      <w:pPr>
        <w:jc w:val="both"/>
        <w:rPr>
          <w:color w:val="222222"/>
        </w:rPr>
      </w:pPr>
    </w:p>
    <w:p w14:paraId="3F68B528" w14:textId="77777777" w:rsidR="004E6B93" w:rsidRDefault="0078359C">
      <w:pPr>
        <w:jc w:val="both"/>
        <w:rPr>
          <w:color w:val="222222"/>
        </w:rPr>
      </w:pPr>
      <w:r>
        <w:rPr>
          <w:color w:val="222222"/>
        </w:rPr>
        <w:t xml:space="preserve">This is good news. </w:t>
      </w:r>
      <w:r>
        <w:rPr>
          <w:color w:val="222222"/>
        </w:rPr>
        <w:t>Because even if 10% of the stocks are dying-style, (which is our worst-case scenario mentioned in the motivation chapter), it was not enough to significantly diminish the PV of the portfolio. Note that the test had 10 stocks and 100 periods. Assuming weekl</w:t>
      </w:r>
      <w:r>
        <w:rPr>
          <w:color w:val="222222"/>
        </w:rPr>
        <w:t>y rebalance the 100 periods can last for 2 years. So, even if we rebalance every week for 2 years (instead of no rebalancing at all), and 10% of the stocks are dying-style, the frequent rebalancing is still the winner. Profitwise, of course. And “in genera</w:t>
      </w:r>
      <w:r>
        <w:rPr>
          <w:color w:val="222222"/>
        </w:rPr>
        <w:t>l”.</w:t>
      </w:r>
    </w:p>
    <w:p w14:paraId="2EFA939B" w14:textId="77777777" w:rsidR="004E6B93" w:rsidRDefault="004E6B93">
      <w:pPr>
        <w:jc w:val="both"/>
      </w:pPr>
    </w:p>
    <w:p w14:paraId="5DFD6425" w14:textId="77777777" w:rsidR="004E6B93" w:rsidRDefault="004E6B93">
      <w:pPr>
        <w:jc w:val="both"/>
      </w:pPr>
    </w:p>
    <w:p w14:paraId="5CF7BA2E" w14:textId="77777777" w:rsidR="004E6B93" w:rsidRDefault="0078359C">
      <w:pPr>
        <w:jc w:val="both"/>
      </w:pPr>
      <w:r>
        <w:rPr>
          <w:noProof/>
        </w:rPr>
        <w:drawing>
          <wp:inline distT="114300" distB="114300" distL="114300" distR="114300" wp14:anchorId="42D11585" wp14:editId="6A337A63">
            <wp:extent cx="7052400" cy="977900"/>
            <wp:effectExtent l="0" t="0" r="0" b="0"/>
            <wp:docPr id="6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7052400" cy="977900"/>
                    </a:xfrm>
                    <a:prstGeom prst="rect">
                      <a:avLst/>
                    </a:prstGeom>
                    <a:ln/>
                  </pic:spPr>
                </pic:pic>
              </a:graphicData>
            </a:graphic>
          </wp:inline>
        </w:drawing>
      </w:r>
    </w:p>
    <w:p w14:paraId="26AE4F47" w14:textId="77777777" w:rsidR="004E6B93" w:rsidRDefault="0078359C">
      <w:pPr>
        <w:jc w:val="both"/>
      </w:pPr>
      <w:r>
        <w:rPr>
          <w:noProof/>
        </w:rPr>
        <w:drawing>
          <wp:inline distT="114300" distB="114300" distL="114300" distR="114300" wp14:anchorId="53EB1775" wp14:editId="7CEFC821">
            <wp:extent cx="7052400" cy="9144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7052400" cy="914400"/>
                    </a:xfrm>
                    <a:prstGeom prst="rect">
                      <a:avLst/>
                    </a:prstGeom>
                    <a:ln/>
                  </pic:spPr>
                </pic:pic>
              </a:graphicData>
            </a:graphic>
          </wp:inline>
        </w:drawing>
      </w:r>
    </w:p>
    <w:p w14:paraId="08242519" w14:textId="77777777" w:rsidR="004E6B93" w:rsidRDefault="004E6B93">
      <w:pPr>
        <w:jc w:val="both"/>
      </w:pPr>
    </w:p>
    <w:p w14:paraId="6DAFDC70" w14:textId="77777777" w:rsidR="004E6B93" w:rsidRDefault="0078359C">
      <w:pPr>
        <w:jc w:val="both"/>
      </w:pPr>
      <w:r>
        <w:br w:type="page"/>
      </w:r>
    </w:p>
    <w:p w14:paraId="0EA8A2E9" w14:textId="77777777" w:rsidR="004E6B93" w:rsidRDefault="0078359C">
      <w:pPr>
        <w:pStyle w:val="Heading2"/>
        <w:jc w:val="both"/>
        <w:rPr>
          <w:color w:val="CC0000"/>
        </w:rPr>
      </w:pPr>
      <w:bookmarkStart w:id="11" w:name="_165m53iyvi9q" w:colFirst="0" w:colLast="0"/>
      <w:bookmarkEnd w:id="11"/>
      <w:r>
        <w:rPr>
          <w:color w:val="CC0000"/>
        </w:rPr>
        <w:lastRenderedPageBreak/>
        <w:t xml:space="preserve">Real world adult-stock example </w:t>
      </w:r>
    </w:p>
    <w:p w14:paraId="767E7F9C" w14:textId="77777777" w:rsidR="004E6B93" w:rsidRDefault="004E6B93">
      <w:pPr>
        <w:jc w:val="both"/>
      </w:pPr>
    </w:p>
    <w:p w14:paraId="6DF28200" w14:textId="77777777" w:rsidR="004E6B93" w:rsidRDefault="0078359C">
      <w:pPr>
        <w:jc w:val="both"/>
      </w:pPr>
      <w:r>
        <w:t>Another good question can be: if there is a difference among different rebalance-frequencies what is the extent of it? For answering this let examine in more details the portfolio of 8 adult business-related st</w:t>
      </w:r>
      <w:r>
        <w:t xml:space="preserve">ocks which was already analysed in the “Vice beats virtue” </w:t>
      </w:r>
      <w:hyperlink r:id="rId18" w:anchor="heading=h.j6y772wpjxnj">
        <w:r>
          <w:rPr>
            <w:color w:val="1155CC"/>
            <w:u w:val="single"/>
          </w:rPr>
          <w:t>study</w:t>
        </w:r>
      </w:hyperlink>
      <w:r>
        <w:t>.</w:t>
      </w:r>
    </w:p>
    <w:p w14:paraId="0B721D6F" w14:textId="77777777" w:rsidR="004E6B93" w:rsidRDefault="004E6B93">
      <w:pPr>
        <w:jc w:val="both"/>
      </w:pPr>
    </w:p>
    <w:p w14:paraId="33DFE04D" w14:textId="77777777" w:rsidR="004E6B93" w:rsidRDefault="0078359C">
      <w:pPr>
        <w:jc w:val="both"/>
      </w:pPr>
      <w:r>
        <w:t xml:space="preserve">There we saw that daily rebalance led to a CAGR of 20.9% </w:t>
      </w:r>
      <w:r>
        <w:t>over 20 years - while it was only 8.9% with weekly and 1.4% with monthly rebalance. At first sight it seems to be a huge a difference.</w:t>
      </w:r>
    </w:p>
    <w:p w14:paraId="2EACAD8F" w14:textId="77777777" w:rsidR="004E6B93" w:rsidRDefault="004E6B93">
      <w:pPr>
        <w:jc w:val="both"/>
      </w:pPr>
    </w:p>
    <w:p w14:paraId="318B1AA5" w14:textId="77777777" w:rsidR="004E6B93" w:rsidRDefault="0078359C">
      <w:pPr>
        <w:jc w:val="both"/>
      </w:pPr>
      <w:r>
        <w:t xml:space="preserve">But in the next step we eliminated the final period of two penny-stocks (after that point of time when their price fell </w:t>
      </w:r>
      <w:r>
        <w:t xml:space="preserve">below $0.50) and with this “cleaned” dataset the results were 13.9% CAGR with daily, 12.9% with weekly and 11.8% with monthly rebalance. </w:t>
      </w:r>
      <w:r>
        <w:rPr>
          <w:color w:val="222222"/>
          <w:highlight w:val="white"/>
        </w:rPr>
        <w:t>This looks believable because the extra underperformance risk of the daily rebalancing (think dying-style stocks) shoul</w:t>
      </w:r>
      <w:r>
        <w:rPr>
          <w:color w:val="222222"/>
          <w:highlight w:val="white"/>
        </w:rPr>
        <w:t>d be compensated by a mild additional profit.</w:t>
      </w:r>
    </w:p>
    <w:p w14:paraId="408A01A9" w14:textId="77777777" w:rsidR="004E6B93" w:rsidRDefault="004E6B93">
      <w:pPr>
        <w:jc w:val="both"/>
      </w:pPr>
    </w:p>
    <w:p w14:paraId="096E8272" w14:textId="77777777" w:rsidR="004E6B93" w:rsidRDefault="0078359C">
      <w:pPr>
        <w:jc w:val="both"/>
      </w:pPr>
      <w:r>
        <w:t xml:space="preserve">A problem with these results is that they are related to 20 years (i.e. in other words they were calculated for a </w:t>
      </w:r>
      <w:proofErr w:type="gramStart"/>
      <w:r>
        <w:t>20 year</w:t>
      </w:r>
      <w:proofErr w:type="gramEnd"/>
      <w:r>
        <w:t xml:space="preserve"> long look-back period). So </w:t>
      </w:r>
      <w:proofErr w:type="gramStart"/>
      <w:r>
        <w:t>therefore</w:t>
      </w:r>
      <w:proofErr w:type="gramEnd"/>
      <w:r>
        <w:t xml:space="preserve"> I calculated PVs for different look-back periods -</w:t>
      </w:r>
      <w:r>
        <w:t xml:space="preserve"> for daily and monthly rebalances as well. In the next Chart we can see the ratio of them:</w:t>
      </w:r>
    </w:p>
    <w:p w14:paraId="6F8EFEEB" w14:textId="77777777" w:rsidR="004E6B93" w:rsidRDefault="004E6B93">
      <w:pPr>
        <w:jc w:val="both"/>
      </w:pPr>
    </w:p>
    <w:p w14:paraId="5BD65D5A" w14:textId="77777777" w:rsidR="004E6B93" w:rsidRDefault="0078359C">
      <w:pPr>
        <w:jc w:val="center"/>
        <w:rPr>
          <w:sz w:val="18"/>
          <w:szCs w:val="18"/>
        </w:rPr>
      </w:pPr>
      <w:r>
        <w:rPr>
          <w:sz w:val="18"/>
          <w:szCs w:val="18"/>
        </w:rPr>
        <w:t>Chart 1a. Ratio of adult business related-stock PVs calculated with daily and monthly rebalance</w:t>
      </w:r>
    </w:p>
    <w:p w14:paraId="49C839C2" w14:textId="77777777" w:rsidR="004E6B93" w:rsidRDefault="0078359C">
      <w:pPr>
        <w:jc w:val="both"/>
      </w:pPr>
      <w:r>
        <w:rPr>
          <w:noProof/>
        </w:rPr>
        <w:drawing>
          <wp:inline distT="114300" distB="114300" distL="114300" distR="114300" wp14:anchorId="15DD9805" wp14:editId="711DBF5F">
            <wp:extent cx="7052400" cy="5118100"/>
            <wp:effectExtent l="0" t="0" r="0" b="0"/>
            <wp:docPr id="5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a:srcRect/>
                    <a:stretch>
                      <a:fillRect/>
                    </a:stretch>
                  </pic:blipFill>
                  <pic:spPr>
                    <a:xfrm>
                      <a:off x="0" y="0"/>
                      <a:ext cx="7052400" cy="5118100"/>
                    </a:xfrm>
                    <a:prstGeom prst="rect">
                      <a:avLst/>
                    </a:prstGeom>
                    <a:ln/>
                  </pic:spPr>
                </pic:pic>
              </a:graphicData>
            </a:graphic>
          </wp:inline>
        </w:drawing>
      </w:r>
    </w:p>
    <w:p w14:paraId="215CAF2E" w14:textId="77777777" w:rsidR="004E6B93" w:rsidRDefault="004E6B93">
      <w:pPr>
        <w:jc w:val="both"/>
      </w:pPr>
    </w:p>
    <w:p w14:paraId="7BB93A2B" w14:textId="77777777" w:rsidR="004E6B93" w:rsidRDefault="0078359C">
      <w:pPr>
        <w:jc w:val="both"/>
      </w:pPr>
      <w:r>
        <w:lastRenderedPageBreak/>
        <w:t xml:space="preserve">For a better understanding of the chart I highlighted a point with a red arrow on the black curve which has a value of 1.3 at 2003-12-31. It means that at date with a </w:t>
      </w:r>
      <w:proofErr w:type="gramStart"/>
      <w:r>
        <w:t>4 year</w:t>
      </w:r>
      <w:proofErr w:type="gramEnd"/>
      <w:r>
        <w:t xml:space="preserve"> look-back period, i.e. for the period of [1999-12-31, 2003-12-31] the daily rebala</w:t>
      </w:r>
      <w:r>
        <w:t>nced PV was 1.3 times higher than the monthly rebalanced PV.</w:t>
      </w:r>
    </w:p>
    <w:p w14:paraId="0BF9883F" w14:textId="77777777" w:rsidR="004E6B93" w:rsidRDefault="004E6B93">
      <w:pPr>
        <w:jc w:val="both"/>
      </w:pPr>
    </w:p>
    <w:p w14:paraId="7EEC9FD7" w14:textId="77777777" w:rsidR="004E6B93" w:rsidRDefault="0078359C">
      <w:pPr>
        <w:jc w:val="both"/>
      </w:pPr>
      <w:proofErr w:type="gramStart"/>
      <w:r>
        <w:t>So</w:t>
      </w:r>
      <w:proofErr w:type="gramEnd"/>
      <w:r>
        <w:t xml:space="preserve"> from this chart we can see that regardless of the length of the look-back period this ratio was mainly in the [0.8, 1.3] array. (Actually a 30% higher performance over 4 years means an advant</w:t>
      </w:r>
      <w:r>
        <w:t>age of 7.45% in CAGR if the lower performance had 10% CAGR and 8.13% advantage if the lower performance had 20% CAGR)</w:t>
      </w:r>
    </w:p>
    <w:p w14:paraId="56BCFBD5" w14:textId="77777777" w:rsidR="004E6B93" w:rsidRDefault="004E6B93">
      <w:pPr>
        <w:jc w:val="both"/>
      </w:pPr>
    </w:p>
    <w:p w14:paraId="2B15F69E" w14:textId="77777777" w:rsidR="004E6B93" w:rsidRDefault="0078359C">
      <w:pPr>
        <w:jc w:val="both"/>
      </w:pPr>
      <w:r>
        <w:t xml:space="preserve">It is also clear from the chart that some strange daily %changes in the [2012-12-31, 2014-12-31] period must have been the reason of the </w:t>
      </w:r>
      <w:r>
        <w:t>sharply increasing ratio (which means that in those periods frequent rebelance performed clearly better).</w:t>
      </w:r>
    </w:p>
    <w:p w14:paraId="04A2D5E2" w14:textId="77777777" w:rsidR="004E6B93" w:rsidRDefault="004E6B93">
      <w:pPr>
        <w:jc w:val="both"/>
      </w:pPr>
    </w:p>
    <w:p w14:paraId="75F3E157" w14:textId="77777777" w:rsidR="004E6B93" w:rsidRDefault="0078359C">
      <w:pPr>
        <w:jc w:val="both"/>
      </w:pPr>
      <w:r>
        <w:t>If we eliminate the stock LNET (which ended as penny-stock) then we get a similar chart, so we have to search for the answer somewhere else:</w:t>
      </w:r>
    </w:p>
    <w:p w14:paraId="2818C72F" w14:textId="77777777" w:rsidR="004E6B93" w:rsidRDefault="0078359C">
      <w:pPr>
        <w:jc w:val="center"/>
      </w:pPr>
      <w:r>
        <w:rPr>
          <w:sz w:val="18"/>
          <w:szCs w:val="18"/>
        </w:rPr>
        <w:t>Chart 1b</w:t>
      </w:r>
      <w:r>
        <w:rPr>
          <w:sz w:val="18"/>
          <w:szCs w:val="18"/>
        </w:rPr>
        <w:t>. Ratio of adult business related-stock PVs (without LNET) calculated with daily and monthly rebalance</w:t>
      </w:r>
    </w:p>
    <w:p w14:paraId="599E2439" w14:textId="77777777" w:rsidR="004E6B93" w:rsidRDefault="0078359C">
      <w:pPr>
        <w:jc w:val="both"/>
      </w:pPr>
      <w:r>
        <w:rPr>
          <w:noProof/>
        </w:rPr>
        <w:drawing>
          <wp:inline distT="114300" distB="114300" distL="114300" distR="114300" wp14:anchorId="1D438B43" wp14:editId="4342449C">
            <wp:extent cx="7052400" cy="51181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7052400" cy="5118100"/>
                    </a:xfrm>
                    <a:prstGeom prst="rect">
                      <a:avLst/>
                    </a:prstGeom>
                    <a:ln/>
                  </pic:spPr>
                </pic:pic>
              </a:graphicData>
            </a:graphic>
          </wp:inline>
        </w:drawing>
      </w:r>
    </w:p>
    <w:p w14:paraId="22E089DB" w14:textId="77777777" w:rsidR="004E6B93" w:rsidRDefault="004E6B93">
      <w:pPr>
        <w:jc w:val="both"/>
      </w:pPr>
    </w:p>
    <w:p w14:paraId="1B1566A9" w14:textId="77777777" w:rsidR="004E6B93" w:rsidRDefault="004E6B93">
      <w:pPr>
        <w:jc w:val="both"/>
      </w:pPr>
    </w:p>
    <w:p w14:paraId="1F101B8B" w14:textId="77777777" w:rsidR="004E6B93" w:rsidRDefault="004E6B93">
      <w:pPr>
        <w:jc w:val="both"/>
      </w:pPr>
    </w:p>
    <w:p w14:paraId="47FD552C" w14:textId="77777777" w:rsidR="004E6B93" w:rsidRDefault="004E6B93">
      <w:pPr>
        <w:jc w:val="both"/>
      </w:pPr>
    </w:p>
    <w:p w14:paraId="5CB9633B" w14:textId="77777777" w:rsidR="004E6B93" w:rsidRDefault="004E6B93">
      <w:pPr>
        <w:jc w:val="both"/>
      </w:pPr>
    </w:p>
    <w:p w14:paraId="4F20BE00" w14:textId="77777777" w:rsidR="004E6B93" w:rsidRDefault="004E6B93">
      <w:pPr>
        <w:jc w:val="both"/>
      </w:pPr>
    </w:p>
    <w:p w14:paraId="3625F199" w14:textId="77777777" w:rsidR="004E6B93" w:rsidRDefault="004E6B93">
      <w:pPr>
        <w:jc w:val="both"/>
      </w:pPr>
    </w:p>
    <w:p w14:paraId="68B24E20" w14:textId="77777777" w:rsidR="004E6B93" w:rsidRDefault="0078359C">
      <w:pPr>
        <w:jc w:val="both"/>
      </w:pPr>
      <w:r>
        <w:t>If we eliminate the other stock that ended as a penny-stock (PRVT) then we get a much more normal chart:</w:t>
      </w:r>
    </w:p>
    <w:p w14:paraId="1B6C0FC6" w14:textId="77777777" w:rsidR="004E6B93" w:rsidRDefault="004E6B93">
      <w:pPr>
        <w:jc w:val="center"/>
        <w:rPr>
          <w:sz w:val="18"/>
          <w:szCs w:val="18"/>
        </w:rPr>
      </w:pPr>
    </w:p>
    <w:p w14:paraId="1BA5D2DC" w14:textId="77777777" w:rsidR="004E6B93" w:rsidRDefault="0078359C">
      <w:pPr>
        <w:jc w:val="center"/>
      </w:pPr>
      <w:r>
        <w:rPr>
          <w:sz w:val="18"/>
          <w:szCs w:val="18"/>
        </w:rPr>
        <w:t>Chart 1c. Ratio of adult business rela</w:t>
      </w:r>
      <w:r>
        <w:rPr>
          <w:sz w:val="18"/>
          <w:szCs w:val="18"/>
        </w:rPr>
        <w:t>ted-stock PVs (without PRVT) calculated with daily and monthly rebalance</w:t>
      </w:r>
    </w:p>
    <w:p w14:paraId="4396F0AD" w14:textId="77777777" w:rsidR="004E6B93" w:rsidRDefault="0078359C">
      <w:pPr>
        <w:jc w:val="both"/>
      </w:pPr>
      <w:r>
        <w:rPr>
          <w:noProof/>
        </w:rPr>
        <w:drawing>
          <wp:inline distT="114300" distB="114300" distL="114300" distR="114300" wp14:anchorId="604EE225" wp14:editId="4D469E9A">
            <wp:extent cx="7052400" cy="511810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7052400" cy="5118100"/>
                    </a:xfrm>
                    <a:prstGeom prst="rect">
                      <a:avLst/>
                    </a:prstGeom>
                    <a:ln/>
                  </pic:spPr>
                </pic:pic>
              </a:graphicData>
            </a:graphic>
          </wp:inline>
        </w:drawing>
      </w:r>
    </w:p>
    <w:p w14:paraId="109C03E1" w14:textId="77777777" w:rsidR="004E6B93" w:rsidRDefault="004E6B93">
      <w:pPr>
        <w:jc w:val="both"/>
      </w:pPr>
    </w:p>
    <w:p w14:paraId="4C4D78D9" w14:textId="77777777" w:rsidR="004E6B93" w:rsidRDefault="0078359C">
      <w:pPr>
        <w:jc w:val="both"/>
      </w:pPr>
      <w:proofErr w:type="gramStart"/>
      <w:r>
        <w:t>So</w:t>
      </w:r>
      <w:proofErr w:type="gramEnd"/>
      <w:r>
        <w:t xml:space="preserve"> from this chart it is clear that some strange daily movement of PRVT caused that 20 year length CAGR of daily rebalanced portfolio was much higher than of monthly rebalanced.</w:t>
      </w:r>
    </w:p>
    <w:p w14:paraId="5321F9D1" w14:textId="77777777" w:rsidR="004E6B93" w:rsidRDefault="0078359C">
      <w:pPr>
        <w:jc w:val="both"/>
      </w:pPr>
      <w:r>
        <w:t>Be</w:t>
      </w:r>
      <w:r>
        <w:t>cause in the [2012-12-31, 2014-12-31] period PRVT’s average daily price was only $0.1 sometimes it had a daily %change of +185% (increasing up to $0.2 from $0.07).</w:t>
      </w:r>
    </w:p>
    <w:p w14:paraId="5979B0B9" w14:textId="77777777" w:rsidR="004E6B93" w:rsidRDefault="004E6B93">
      <w:pPr>
        <w:jc w:val="both"/>
      </w:pPr>
    </w:p>
    <w:p w14:paraId="2C7D9554" w14:textId="77777777" w:rsidR="004E6B93" w:rsidRDefault="004E6B93">
      <w:pPr>
        <w:jc w:val="both"/>
      </w:pPr>
    </w:p>
    <w:p w14:paraId="68D69579" w14:textId="77777777" w:rsidR="004E6B93" w:rsidRDefault="0078359C">
      <w:pPr>
        <w:pStyle w:val="Heading2"/>
        <w:jc w:val="both"/>
        <w:rPr>
          <w:color w:val="CC0000"/>
        </w:rPr>
      </w:pPr>
      <w:bookmarkStart w:id="12" w:name="_l5hu0jnafyuu" w:colFirst="0" w:colLast="0"/>
      <w:bookmarkEnd w:id="12"/>
      <w:r>
        <w:br w:type="page"/>
      </w:r>
    </w:p>
    <w:p w14:paraId="0B313A9F" w14:textId="77777777" w:rsidR="004E6B93" w:rsidRDefault="0078359C">
      <w:pPr>
        <w:pStyle w:val="Heading2"/>
        <w:jc w:val="both"/>
        <w:rPr>
          <w:color w:val="CC0000"/>
        </w:rPr>
      </w:pPr>
      <w:bookmarkStart w:id="13" w:name="_y3nn3s6hukyq" w:colFirst="0" w:colLast="0"/>
      <w:bookmarkEnd w:id="13"/>
      <w:r>
        <w:rPr>
          <w:color w:val="CC0000"/>
        </w:rPr>
        <w:lastRenderedPageBreak/>
        <w:t>Percentile channels with GameChangers</w:t>
      </w:r>
    </w:p>
    <w:p w14:paraId="7AA29C4E" w14:textId="77777777" w:rsidR="004E6B93" w:rsidRDefault="004E6B93"/>
    <w:p w14:paraId="4B536587" w14:textId="77777777" w:rsidR="004E6B93" w:rsidRDefault="0078359C">
      <w:pPr>
        <w:jc w:val="both"/>
      </w:pPr>
      <w:r>
        <w:t xml:space="preserve">A problem with simple </w:t>
      </w:r>
      <w:r>
        <w:rPr>
          <w:b/>
        </w:rPr>
        <w:t>equal weight rebalancing</w:t>
      </w:r>
      <w:r>
        <w:t xml:space="preserve"> is that with this technique we </w:t>
      </w:r>
      <w:r>
        <w:rPr>
          <w:b/>
        </w:rPr>
        <w:t>could continuously invest into dying stocks</w:t>
      </w:r>
      <w:r>
        <w:t xml:space="preserve"> too. We would </w:t>
      </w:r>
      <w:r>
        <w:rPr>
          <w:b/>
        </w:rPr>
        <w:t>need</w:t>
      </w:r>
      <w:r>
        <w:t xml:space="preserve"> such </w:t>
      </w:r>
      <w:r>
        <w:rPr>
          <w:b/>
        </w:rPr>
        <w:t>a barrier</w:t>
      </w:r>
      <w:r>
        <w:t xml:space="preserve"> that preserve us from such amiss. A </w:t>
      </w:r>
      <w:r>
        <w:rPr>
          <w:b/>
        </w:rPr>
        <w:t>possible solution</w:t>
      </w:r>
      <w:r>
        <w:t xml:space="preserve"> for this problem can be applying </w:t>
      </w:r>
      <w:r>
        <w:rPr>
          <w:b/>
        </w:rPr>
        <w:t>percentile channels</w:t>
      </w:r>
      <w:r>
        <w:t>. 4 years ago Ba</w:t>
      </w:r>
      <w:r>
        <w:t xml:space="preserve">lázs in </w:t>
      </w:r>
      <w:hyperlink r:id="rId22">
        <w:r>
          <w:rPr>
            <w:color w:val="1155CC"/>
            <w:u w:val="single"/>
          </w:rPr>
          <w:t>this</w:t>
        </w:r>
      </w:hyperlink>
      <w:r>
        <w:t xml:space="preserve"> study already analyzed this tool - now let’s see the results with our current GameChangers and with a good est</w:t>
      </w:r>
      <w:r>
        <w:t>imation of Nasdaq100 (top10-15 QQQ holdings).</w:t>
      </w:r>
    </w:p>
    <w:p w14:paraId="596ADC5C" w14:textId="77777777" w:rsidR="004E6B93" w:rsidRDefault="004E6B93">
      <w:pPr>
        <w:jc w:val="both"/>
      </w:pPr>
    </w:p>
    <w:p w14:paraId="739499F9" w14:textId="77777777" w:rsidR="004E6B93" w:rsidRDefault="0078359C">
      <w:pPr>
        <w:jc w:val="both"/>
      </w:pPr>
      <w:r>
        <w:t>But before going into details we summarize the advantages of this method:</w:t>
      </w:r>
    </w:p>
    <w:p w14:paraId="26E3DC85" w14:textId="77777777" w:rsidR="004E6B93" w:rsidRDefault="0078359C">
      <w:pPr>
        <w:numPr>
          <w:ilvl w:val="0"/>
          <w:numId w:val="7"/>
        </w:numPr>
        <w:jc w:val="both"/>
      </w:pPr>
      <w:r>
        <w:t xml:space="preserve">We </w:t>
      </w:r>
      <w:r>
        <w:rPr>
          <w:b/>
        </w:rPr>
        <w:t>buy only</w:t>
      </w:r>
      <w:r>
        <w:t xml:space="preserve"> those stocks which perform </w:t>
      </w:r>
      <w:r>
        <w:rPr>
          <w:b/>
        </w:rPr>
        <w:t>above a given level</w:t>
      </w:r>
    </w:p>
    <w:p w14:paraId="0E8FA5EC" w14:textId="77777777" w:rsidR="004E6B93" w:rsidRDefault="0078359C">
      <w:pPr>
        <w:numPr>
          <w:ilvl w:val="0"/>
          <w:numId w:val="7"/>
        </w:numPr>
        <w:jc w:val="both"/>
      </w:pPr>
      <w:r>
        <w:rPr>
          <w:b/>
        </w:rPr>
        <w:t>Keep</w:t>
      </w:r>
      <w:r>
        <w:t xml:space="preserve"> them </w:t>
      </w:r>
      <w:r>
        <w:rPr>
          <w:b/>
        </w:rPr>
        <w:t>only above</w:t>
      </w:r>
      <w:r>
        <w:t xml:space="preserve"> </w:t>
      </w:r>
      <w:r>
        <w:rPr>
          <w:b/>
        </w:rPr>
        <w:t>a</w:t>
      </w:r>
      <w:r>
        <w:t xml:space="preserve"> given </w:t>
      </w:r>
      <w:r>
        <w:rPr>
          <w:b/>
        </w:rPr>
        <w:t>minimum</w:t>
      </w:r>
      <w:r>
        <w:t xml:space="preserve"> performance level</w:t>
      </w:r>
    </w:p>
    <w:p w14:paraId="37DD0CC7" w14:textId="77777777" w:rsidR="004E6B93" w:rsidRDefault="0078359C">
      <w:pPr>
        <w:numPr>
          <w:ilvl w:val="0"/>
          <w:numId w:val="7"/>
        </w:numPr>
        <w:jc w:val="both"/>
      </w:pPr>
      <w:r>
        <w:rPr>
          <w:b/>
        </w:rPr>
        <w:t>Weight</w:t>
      </w:r>
      <w:r>
        <w:t xml:space="preserve"> of each stock</w:t>
      </w:r>
      <w:r>
        <w:rPr>
          <w:b/>
        </w:rPr>
        <w:t xml:space="preserve"> </w:t>
      </w:r>
      <w:r>
        <w:rPr>
          <w:b/>
        </w:rPr>
        <w:t xml:space="preserve">depends </w:t>
      </w:r>
      <w:r>
        <w:t>at the same time</w:t>
      </w:r>
      <w:r>
        <w:rPr>
          <w:b/>
        </w:rPr>
        <w:t xml:space="preserve"> on its own and other stocks’ performance</w:t>
      </w:r>
      <w:r>
        <w:t xml:space="preserve"> - weighted by their risk (which are measured by their historical volatility). </w:t>
      </w:r>
    </w:p>
    <w:p w14:paraId="363FF10E" w14:textId="77777777" w:rsidR="004E6B93" w:rsidRDefault="0078359C">
      <w:pPr>
        <w:ind w:left="720"/>
        <w:jc w:val="both"/>
      </w:pPr>
      <w:r>
        <w:t xml:space="preserve">In practice it means (assuming that historical volatilities are the same for all stocks in the portfolio) that </w:t>
      </w:r>
      <w:r>
        <w:t xml:space="preserve">we buy more from a given stock if its performance (i.e. its current price compared to the related percentile channels) is better than the others. We also buy more from a given stock if the performances are the same but produces it with a </w:t>
      </w:r>
      <w:proofErr w:type="gramStart"/>
      <w:r>
        <w:t>lower  risk</w:t>
      </w:r>
      <w:proofErr w:type="gramEnd"/>
      <w:r>
        <w:t xml:space="preserve"> (i.e. </w:t>
      </w:r>
      <w:r>
        <w:t>its historical volatility is lower than the others).</w:t>
      </w:r>
    </w:p>
    <w:p w14:paraId="4E0F79DB" w14:textId="77777777" w:rsidR="004E6B93" w:rsidRDefault="0078359C">
      <w:pPr>
        <w:numPr>
          <w:ilvl w:val="0"/>
          <w:numId w:val="1"/>
        </w:numPr>
        <w:jc w:val="both"/>
      </w:pPr>
      <w:r>
        <w:t>If a stock performs under the minimum level then we keep Cash / SHY / TLT instead of its part</w:t>
      </w:r>
    </w:p>
    <w:p w14:paraId="42C2A33F" w14:textId="77777777" w:rsidR="004E6B93" w:rsidRDefault="004E6B93">
      <w:pPr>
        <w:ind w:left="720"/>
        <w:jc w:val="both"/>
      </w:pPr>
    </w:p>
    <w:p w14:paraId="3FFD75D0" w14:textId="77777777" w:rsidR="004E6B93" w:rsidRDefault="004E6B93">
      <w:pPr>
        <w:jc w:val="both"/>
      </w:pPr>
    </w:p>
    <w:p w14:paraId="799D82CD" w14:textId="77777777" w:rsidR="004E6B93" w:rsidRDefault="0078359C">
      <w:pPr>
        <w:jc w:val="both"/>
      </w:pPr>
      <w:r>
        <w:t>To brush up our memories here are the exact rules from Balazs’ document:</w:t>
      </w:r>
    </w:p>
    <w:p w14:paraId="2AAFF54D" w14:textId="77777777" w:rsidR="004E6B93" w:rsidRDefault="004E6B93">
      <w:pPr>
        <w:jc w:val="both"/>
      </w:pPr>
    </w:p>
    <w:p w14:paraId="3B624425" w14:textId="77777777" w:rsidR="004E6B93" w:rsidRDefault="0078359C">
      <w:pPr>
        <w:jc w:val="both"/>
        <w:rPr>
          <w:i/>
          <w:color w:val="0000FF"/>
          <w:sz w:val="20"/>
          <w:szCs w:val="20"/>
        </w:rPr>
      </w:pPr>
      <w:r>
        <w:rPr>
          <w:i/>
          <w:color w:val="0000FF"/>
          <w:sz w:val="20"/>
          <w:szCs w:val="20"/>
        </w:rPr>
        <w:t>“Steps:</w:t>
      </w:r>
    </w:p>
    <w:p w14:paraId="43DD099F" w14:textId="77777777" w:rsidR="004E6B93" w:rsidRDefault="0078359C">
      <w:pPr>
        <w:jc w:val="both"/>
        <w:rPr>
          <w:i/>
          <w:color w:val="0000FF"/>
          <w:sz w:val="20"/>
          <w:szCs w:val="20"/>
        </w:rPr>
      </w:pPr>
      <w:r>
        <w:rPr>
          <w:i/>
          <w:color w:val="0000FF"/>
          <w:sz w:val="20"/>
          <w:szCs w:val="20"/>
        </w:rPr>
        <w:t xml:space="preserve">1.       For every </w:t>
      </w:r>
      <w:proofErr w:type="gramStart"/>
      <w:r>
        <w:rPr>
          <w:i/>
          <w:color w:val="0000FF"/>
          <w:sz w:val="20"/>
          <w:szCs w:val="20"/>
        </w:rPr>
        <w:t>stocks</w:t>
      </w:r>
      <w:proofErr w:type="gramEnd"/>
      <w:r>
        <w:rPr>
          <w:i/>
          <w:color w:val="0000FF"/>
          <w:sz w:val="20"/>
          <w:szCs w:val="20"/>
        </w:rPr>
        <w:t>, calculate the 60-, 120-, 180- and 252-day (these are trading days) percentile channel with 25% threshold every day. For example, 120-day percentile</w:t>
      </w:r>
      <w:r>
        <w:rPr>
          <w:i/>
          <w:color w:val="0000FF"/>
          <w:sz w:val="20"/>
          <w:szCs w:val="20"/>
        </w:rPr>
        <w:t xml:space="preserve"> channel with 25% threshold is the following: calculate the 25</w:t>
      </w:r>
      <w:r>
        <w:rPr>
          <w:i/>
          <w:color w:val="0000FF"/>
          <w:sz w:val="20"/>
          <w:szCs w:val="20"/>
          <w:vertAlign w:val="superscript"/>
        </w:rPr>
        <w:t>th</w:t>
      </w:r>
      <w:r>
        <w:rPr>
          <w:i/>
          <w:color w:val="0000FF"/>
          <w:sz w:val="20"/>
          <w:szCs w:val="20"/>
        </w:rPr>
        <w:t xml:space="preserve"> and 75</w:t>
      </w:r>
      <w:r>
        <w:rPr>
          <w:i/>
          <w:color w:val="0000FF"/>
          <w:sz w:val="20"/>
          <w:szCs w:val="20"/>
          <w:vertAlign w:val="superscript"/>
        </w:rPr>
        <w:t>th</w:t>
      </w:r>
      <w:r>
        <w:rPr>
          <w:i/>
          <w:color w:val="0000FF"/>
          <w:sz w:val="20"/>
          <w:szCs w:val="20"/>
        </w:rPr>
        <w:t xml:space="preserve"> percentile of the close prices in the last 120 days. The former will be the lower threshold, while latter the upper threshold. If the daily close price of the given stock on Day T is</w:t>
      </w:r>
      <w:r>
        <w:rPr>
          <w:i/>
          <w:color w:val="0000FF"/>
          <w:sz w:val="20"/>
          <w:szCs w:val="20"/>
        </w:rPr>
        <w:t xml:space="preserve"> higher (or equal) than the upper threshold (75</w:t>
      </w:r>
      <w:r>
        <w:rPr>
          <w:i/>
          <w:color w:val="0000FF"/>
          <w:sz w:val="20"/>
          <w:szCs w:val="20"/>
          <w:vertAlign w:val="superscript"/>
        </w:rPr>
        <w:t>th</w:t>
      </w:r>
      <w:r>
        <w:rPr>
          <w:i/>
          <w:color w:val="0000FF"/>
          <w:sz w:val="20"/>
          <w:szCs w:val="20"/>
        </w:rPr>
        <w:t xml:space="preserve"> percentile of T-</w:t>
      </w:r>
      <w:proofErr w:type="gramStart"/>
      <w:r>
        <w:rPr>
          <w:i/>
          <w:color w:val="0000FF"/>
          <w:sz w:val="20"/>
          <w:szCs w:val="20"/>
        </w:rPr>
        <w:t>119,…</w:t>
      </w:r>
      <w:proofErr w:type="gramEnd"/>
      <w:r>
        <w:rPr>
          <w:i/>
          <w:color w:val="0000FF"/>
          <w:sz w:val="20"/>
          <w:szCs w:val="20"/>
        </w:rPr>
        <w:t>,T close prices), the signal of the 120-day percentile channel is +1. If lower (or equal) than the lower threshold, the signal is -1. Otherwise, the signal of Day T is the same as on Da</w:t>
      </w:r>
      <w:r>
        <w:rPr>
          <w:i/>
          <w:color w:val="0000FF"/>
          <w:sz w:val="20"/>
          <w:szCs w:val="20"/>
        </w:rPr>
        <w:t xml:space="preserve">y T-1. Every stock </w:t>
      </w:r>
      <w:proofErr w:type="gramStart"/>
      <w:r>
        <w:rPr>
          <w:i/>
          <w:color w:val="0000FF"/>
          <w:sz w:val="20"/>
          <w:szCs w:val="20"/>
        </w:rPr>
        <w:t>have</w:t>
      </w:r>
      <w:proofErr w:type="gramEnd"/>
      <w:r>
        <w:rPr>
          <w:i/>
          <w:color w:val="0000FF"/>
          <w:sz w:val="20"/>
          <w:szCs w:val="20"/>
        </w:rPr>
        <w:t xml:space="preserve"> 4 channels with different look-back periods, thus we get 4 signal (-1 or +1) every day for every stocks.</w:t>
      </w:r>
    </w:p>
    <w:p w14:paraId="11C6EBDC" w14:textId="77777777" w:rsidR="004E6B93" w:rsidRDefault="0078359C">
      <w:pPr>
        <w:jc w:val="both"/>
        <w:rPr>
          <w:i/>
          <w:color w:val="0000FF"/>
          <w:sz w:val="20"/>
          <w:szCs w:val="20"/>
        </w:rPr>
      </w:pPr>
      <w:r>
        <w:rPr>
          <w:i/>
          <w:color w:val="0000FF"/>
          <w:sz w:val="20"/>
          <w:szCs w:val="20"/>
        </w:rPr>
        <w:t xml:space="preserve">2.       For every </w:t>
      </w:r>
      <w:proofErr w:type="gramStart"/>
      <w:r>
        <w:rPr>
          <w:i/>
          <w:color w:val="0000FF"/>
          <w:sz w:val="20"/>
          <w:szCs w:val="20"/>
        </w:rPr>
        <w:t>stocks</w:t>
      </w:r>
      <w:proofErr w:type="gramEnd"/>
      <w:r>
        <w:rPr>
          <w:i/>
          <w:color w:val="0000FF"/>
          <w:sz w:val="20"/>
          <w:szCs w:val="20"/>
        </w:rPr>
        <w:t>, sum up the four signals every day. This sum will be -4, -2, 0, +2 or +4. Divide it by 4 to get a sig</w:t>
      </w:r>
      <w:r>
        <w:rPr>
          <w:i/>
          <w:color w:val="0000FF"/>
          <w:sz w:val="20"/>
          <w:szCs w:val="20"/>
        </w:rPr>
        <w:t>nal between -1 and +1 (this will be the “score”). Calculate the 20-day historical volatility of daily percentage changes for every stock. Divide the “score” by this volatility in case of all stocks. These “Score/Vol” quotients will define the weights of th</w:t>
      </w:r>
      <w:r>
        <w:rPr>
          <w:i/>
          <w:color w:val="0000FF"/>
          <w:sz w:val="20"/>
          <w:szCs w:val="20"/>
        </w:rPr>
        <w:t>e stocks in the portfolio.</w:t>
      </w:r>
    </w:p>
    <w:p w14:paraId="17531B42" w14:textId="77777777" w:rsidR="004E6B93" w:rsidRDefault="0078359C">
      <w:pPr>
        <w:jc w:val="both"/>
        <w:rPr>
          <w:i/>
          <w:color w:val="0000FF"/>
          <w:sz w:val="20"/>
          <w:szCs w:val="20"/>
        </w:rPr>
      </w:pPr>
      <w:r>
        <w:rPr>
          <w:i/>
          <w:color w:val="0000FF"/>
          <w:sz w:val="20"/>
          <w:szCs w:val="20"/>
        </w:rPr>
        <w:t>3.       Sum up the absolute values of the “Score/Vol” quotients (as they can be negative as well) and divide each of the individual quotients with this sum. If the score of a stock is positive, this ratio is the weight of the gi</w:t>
      </w:r>
      <w:r>
        <w:rPr>
          <w:i/>
          <w:color w:val="0000FF"/>
          <w:sz w:val="20"/>
          <w:szCs w:val="20"/>
        </w:rPr>
        <w:t>ven stock in the portfolio. If the score of a stock is not positive, this stock will be omitted from the portfolio.</w:t>
      </w:r>
    </w:p>
    <w:p w14:paraId="6A497FA0" w14:textId="77777777" w:rsidR="004E6B93" w:rsidRDefault="0078359C">
      <w:pPr>
        <w:jc w:val="both"/>
        <w:rPr>
          <w:i/>
          <w:color w:val="0000FF"/>
          <w:sz w:val="20"/>
          <w:szCs w:val="20"/>
        </w:rPr>
      </w:pPr>
      <w:r>
        <w:rPr>
          <w:i/>
          <w:color w:val="0000FF"/>
          <w:sz w:val="20"/>
          <w:szCs w:val="20"/>
        </w:rPr>
        <w:t>4.       Replace the omitted stocks with SHY.</w:t>
      </w:r>
    </w:p>
    <w:p w14:paraId="20B2165C" w14:textId="77777777" w:rsidR="004E6B93" w:rsidRDefault="0078359C">
      <w:pPr>
        <w:jc w:val="both"/>
        <w:rPr>
          <w:i/>
          <w:color w:val="0000FF"/>
          <w:sz w:val="20"/>
          <w:szCs w:val="20"/>
        </w:rPr>
      </w:pPr>
      <w:r>
        <w:rPr>
          <w:i/>
          <w:color w:val="0000FF"/>
          <w:sz w:val="20"/>
          <w:szCs w:val="20"/>
        </w:rPr>
        <w:t>5.       Rebalance monthly.</w:t>
      </w:r>
    </w:p>
    <w:p w14:paraId="6B109D36" w14:textId="77777777" w:rsidR="004E6B93" w:rsidRDefault="004E6B93">
      <w:pPr>
        <w:jc w:val="both"/>
        <w:rPr>
          <w:i/>
          <w:color w:val="0000FF"/>
          <w:sz w:val="20"/>
          <w:szCs w:val="20"/>
        </w:rPr>
      </w:pPr>
    </w:p>
    <w:p w14:paraId="776C1FFE" w14:textId="77777777" w:rsidR="004E6B93" w:rsidRDefault="0078359C">
      <w:pPr>
        <w:jc w:val="both"/>
        <w:rPr>
          <w:i/>
          <w:color w:val="0000FF"/>
          <w:sz w:val="20"/>
          <w:szCs w:val="20"/>
        </w:rPr>
      </w:pPr>
      <w:r>
        <w:rPr>
          <w:i/>
          <w:color w:val="0000FF"/>
          <w:sz w:val="20"/>
          <w:szCs w:val="20"/>
        </w:rPr>
        <w:t>An example:</w:t>
      </w:r>
    </w:p>
    <w:p w14:paraId="0A144B63" w14:textId="77777777" w:rsidR="004E6B93" w:rsidRDefault="0078359C">
      <w:pPr>
        <w:numPr>
          <w:ilvl w:val="0"/>
          <w:numId w:val="5"/>
        </w:numPr>
        <w:jc w:val="both"/>
        <w:rPr>
          <w:i/>
          <w:color w:val="0000FF"/>
          <w:sz w:val="20"/>
          <w:szCs w:val="20"/>
        </w:rPr>
      </w:pPr>
      <w:r>
        <w:rPr>
          <w:i/>
          <w:color w:val="0000FF"/>
          <w:sz w:val="20"/>
          <w:szCs w:val="20"/>
        </w:rPr>
        <w:t xml:space="preserve">Stocks: ABC (score: +4, volatility: 2%), </w:t>
      </w:r>
      <w:proofErr w:type="gramStart"/>
      <w:r>
        <w:rPr>
          <w:i/>
          <w:color w:val="0000FF"/>
          <w:sz w:val="20"/>
          <w:szCs w:val="20"/>
        </w:rPr>
        <w:t>DEF(</w:t>
      </w:r>
      <w:proofErr w:type="gramEnd"/>
      <w:r>
        <w:rPr>
          <w:i/>
          <w:color w:val="0000FF"/>
          <w:sz w:val="20"/>
          <w:szCs w:val="20"/>
        </w:rPr>
        <w:t>score: +</w:t>
      </w:r>
      <w:r>
        <w:rPr>
          <w:i/>
          <w:color w:val="0000FF"/>
          <w:sz w:val="20"/>
          <w:szCs w:val="20"/>
        </w:rPr>
        <w:t>4, volatility: 4%), GHI(score: +2, volatility: 3%) and JKL(score: -4, volatility: 6%)</w:t>
      </w:r>
    </w:p>
    <w:p w14:paraId="479CCF09" w14:textId="77777777" w:rsidR="004E6B93" w:rsidRDefault="0078359C">
      <w:pPr>
        <w:numPr>
          <w:ilvl w:val="0"/>
          <w:numId w:val="5"/>
        </w:numPr>
        <w:jc w:val="both"/>
        <w:rPr>
          <w:i/>
          <w:color w:val="0000FF"/>
          <w:sz w:val="20"/>
          <w:szCs w:val="20"/>
        </w:rPr>
      </w:pPr>
      <w:r>
        <w:rPr>
          <w:i/>
          <w:color w:val="0000FF"/>
          <w:sz w:val="20"/>
          <w:szCs w:val="20"/>
        </w:rPr>
        <w:t>Score/Vol: ABC: +200, DEF: +100, GHI: +67 and JKL: -67.  Sum of their absolute values: +434.</w:t>
      </w:r>
    </w:p>
    <w:p w14:paraId="65BF5D57" w14:textId="77777777" w:rsidR="004E6B93" w:rsidRDefault="0078359C">
      <w:pPr>
        <w:numPr>
          <w:ilvl w:val="0"/>
          <w:numId w:val="5"/>
        </w:numPr>
        <w:jc w:val="both"/>
        <w:rPr>
          <w:i/>
          <w:color w:val="0000FF"/>
          <w:sz w:val="20"/>
          <w:szCs w:val="20"/>
        </w:rPr>
      </w:pPr>
      <w:r>
        <w:rPr>
          <w:i/>
          <w:color w:val="0000FF"/>
          <w:sz w:val="20"/>
          <w:szCs w:val="20"/>
        </w:rPr>
        <w:t>The weights in portfolio: ABC: +200/434=46%, DEF: +100/434=23%, GHI: +67/434=</w:t>
      </w:r>
      <w:r>
        <w:rPr>
          <w:i/>
          <w:color w:val="0000FF"/>
          <w:sz w:val="20"/>
          <w:szCs w:val="20"/>
        </w:rPr>
        <w:t>15.5%, JKL: 0% (negative score) and SHY: 1-46%-23%-15.5%=15.5%.”</w:t>
      </w:r>
    </w:p>
    <w:p w14:paraId="796CC0F9" w14:textId="77777777" w:rsidR="004E6B93" w:rsidRDefault="004E6B93">
      <w:pPr>
        <w:jc w:val="both"/>
      </w:pPr>
    </w:p>
    <w:p w14:paraId="5C33FFA6" w14:textId="77777777" w:rsidR="004E6B93" w:rsidRDefault="0078359C">
      <w:pPr>
        <w:jc w:val="both"/>
      </w:pPr>
      <w:r>
        <w:t xml:space="preserve">I used the same rules in my calculations - the only difference was that </w:t>
      </w:r>
      <w:r>
        <w:rPr>
          <w:b/>
        </w:rPr>
        <w:t xml:space="preserve">I used TLT instead of SHY. </w:t>
      </w:r>
      <w:r>
        <w:t>Because TLT exists only from 2002-07-31 I prepared my analysis for the period of 2003-2018.</w:t>
      </w:r>
    </w:p>
    <w:p w14:paraId="51E3726C" w14:textId="77777777" w:rsidR="004E6B93" w:rsidRDefault="004E6B93">
      <w:pPr>
        <w:jc w:val="both"/>
        <w:rPr>
          <w:b/>
        </w:rPr>
      </w:pPr>
    </w:p>
    <w:p w14:paraId="1DA98163" w14:textId="77777777" w:rsidR="004E6B93" w:rsidRDefault="0078359C">
      <w:pPr>
        <w:jc w:val="both"/>
      </w:pPr>
      <w:r>
        <w:lastRenderedPageBreak/>
        <w:br/>
      </w:r>
      <w:proofErr w:type="gramStart"/>
      <w:r>
        <w:t>First</w:t>
      </w:r>
      <w:proofErr w:type="gramEnd"/>
      <w:r>
        <w:t xml:space="preserve"> we can ask </w:t>
      </w:r>
      <w:r>
        <w:rPr>
          <w:b/>
        </w:rPr>
        <w:t>2 basic questions</w:t>
      </w:r>
      <w:r>
        <w:t>:</w:t>
      </w:r>
    </w:p>
    <w:p w14:paraId="0AD578E0" w14:textId="77777777" w:rsidR="004E6B93" w:rsidRDefault="004E6B93">
      <w:pPr>
        <w:jc w:val="both"/>
      </w:pPr>
    </w:p>
    <w:p w14:paraId="3A8AEEE9" w14:textId="77777777" w:rsidR="004E6B93" w:rsidRDefault="0078359C">
      <w:pPr>
        <w:numPr>
          <w:ilvl w:val="0"/>
          <w:numId w:val="3"/>
        </w:numPr>
        <w:jc w:val="both"/>
      </w:pPr>
      <w:r>
        <w:rPr>
          <w:b/>
        </w:rPr>
        <w:t>Frequent or rare</w:t>
      </w:r>
      <w:r>
        <w:t xml:space="preserve"> rebalance gives better result?</w:t>
      </w:r>
    </w:p>
    <w:p w14:paraId="7EFC29B2" w14:textId="77777777" w:rsidR="004E6B93" w:rsidRDefault="0078359C">
      <w:pPr>
        <w:numPr>
          <w:ilvl w:val="0"/>
          <w:numId w:val="3"/>
        </w:numPr>
        <w:jc w:val="both"/>
      </w:pPr>
      <w:r>
        <w:rPr>
          <w:color w:val="222222"/>
          <w:highlight w:val="white"/>
        </w:rPr>
        <w:t xml:space="preserve">Will our result be </w:t>
      </w:r>
      <w:r>
        <w:rPr>
          <w:b/>
          <w:color w:val="222222"/>
          <w:highlight w:val="white"/>
        </w:rPr>
        <w:t>better</w:t>
      </w:r>
      <w:r>
        <w:rPr>
          <w:color w:val="222222"/>
          <w:highlight w:val="white"/>
        </w:rPr>
        <w:t xml:space="preserve"> with the above-described </w:t>
      </w:r>
      <w:proofErr w:type="gramStart"/>
      <w:r>
        <w:rPr>
          <w:color w:val="222222"/>
          <w:highlight w:val="white"/>
        </w:rPr>
        <w:t xml:space="preserve">strategy </w:t>
      </w:r>
      <w:r>
        <w:t xml:space="preserve"> </w:t>
      </w:r>
      <w:r>
        <w:rPr>
          <w:b/>
        </w:rPr>
        <w:t>than</w:t>
      </w:r>
      <w:proofErr w:type="gramEnd"/>
      <w:r>
        <w:t xml:space="preserve"> with </w:t>
      </w:r>
      <w:r>
        <w:rPr>
          <w:b/>
        </w:rPr>
        <w:t>simple</w:t>
      </w:r>
      <w:r>
        <w:rPr>
          <w:b/>
        </w:rPr>
        <w:t xml:space="preserve"> equal-weight buy and hold strategy</w:t>
      </w:r>
      <w:r>
        <w:t>?</w:t>
      </w:r>
    </w:p>
    <w:p w14:paraId="2AD895B0" w14:textId="77777777" w:rsidR="004E6B93" w:rsidRDefault="004E6B93">
      <w:pPr>
        <w:jc w:val="both"/>
      </w:pPr>
    </w:p>
    <w:p w14:paraId="51F35CE0" w14:textId="77777777" w:rsidR="004E6B93" w:rsidRDefault="0078359C">
      <w:pPr>
        <w:jc w:val="both"/>
      </w:pPr>
      <w:r>
        <w:t>For answering the first question I prepared with our current GameChangers monthly and weekly rebalance too. I also calculated monthly rebalance with different starting points than the first day of a given month: I shif</w:t>
      </w:r>
      <w:r>
        <w:t xml:space="preserve">ted it back and forward by 10 trading days as well. PV can be seen in Chart 2 while performance indicators in Table 3a-d. </w:t>
      </w:r>
    </w:p>
    <w:p w14:paraId="003ED259" w14:textId="77777777" w:rsidR="004E6B93" w:rsidRDefault="004E6B93">
      <w:pPr>
        <w:jc w:val="both"/>
      </w:pPr>
    </w:p>
    <w:p w14:paraId="05185310" w14:textId="77777777" w:rsidR="004E6B93" w:rsidRDefault="0078359C">
      <w:pPr>
        <w:jc w:val="both"/>
      </w:pPr>
      <w:r>
        <w:t xml:space="preserve">We can see that the overall results are very similar: </w:t>
      </w:r>
      <w:r>
        <w:rPr>
          <w:color w:val="222222"/>
          <w:highlight w:val="white"/>
        </w:rPr>
        <w:t>monthly rebalance (rarer rebalancing) led to a</w:t>
      </w:r>
      <w:r>
        <w:t xml:space="preserve"> slightly better result: 33.0% C</w:t>
      </w:r>
      <w:r>
        <w:t xml:space="preserve">AGR, 1.62 SR and 29.7% MDD. </w:t>
      </w:r>
    </w:p>
    <w:p w14:paraId="11373F2B" w14:textId="77777777" w:rsidR="004E6B93" w:rsidRDefault="004E6B93">
      <w:pPr>
        <w:jc w:val="both"/>
      </w:pPr>
    </w:p>
    <w:p w14:paraId="0F7F18DF" w14:textId="77777777" w:rsidR="004E6B93" w:rsidRDefault="0078359C">
      <w:pPr>
        <w:jc w:val="center"/>
        <w:rPr>
          <w:sz w:val="18"/>
          <w:szCs w:val="18"/>
        </w:rPr>
      </w:pPr>
      <w:r>
        <w:rPr>
          <w:sz w:val="18"/>
          <w:szCs w:val="18"/>
        </w:rPr>
        <w:t>Chart 2. PV of percentile channels strategy with different rebalance periods</w:t>
      </w:r>
    </w:p>
    <w:p w14:paraId="19E9D1CF" w14:textId="77777777" w:rsidR="004E6B93" w:rsidRDefault="0078359C">
      <w:pPr>
        <w:jc w:val="center"/>
      </w:pPr>
      <w:r>
        <w:rPr>
          <w:noProof/>
        </w:rPr>
        <w:drawing>
          <wp:inline distT="114300" distB="114300" distL="114300" distR="114300" wp14:anchorId="293F48C6" wp14:editId="7BD78AB3">
            <wp:extent cx="7052400" cy="5118100"/>
            <wp:effectExtent l="0" t="0" r="0" b="0"/>
            <wp:docPr id="4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7052400" cy="5118100"/>
                    </a:xfrm>
                    <a:prstGeom prst="rect">
                      <a:avLst/>
                    </a:prstGeom>
                    <a:ln/>
                  </pic:spPr>
                </pic:pic>
              </a:graphicData>
            </a:graphic>
          </wp:inline>
        </w:drawing>
      </w:r>
    </w:p>
    <w:p w14:paraId="3A22A32A" w14:textId="77777777" w:rsidR="004E6B93" w:rsidRDefault="004E6B93">
      <w:pPr>
        <w:jc w:val="both"/>
      </w:pPr>
    </w:p>
    <w:p w14:paraId="5DDA63DA" w14:textId="77777777" w:rsidR="004E6B93" w:rsidRDefault="0078359C">
      <w:pPr>
        <w:jc w:val="both"/>
      </w:pPr>
      <w:r>
        <w:br w:type="page"/>
      </w:r>
    </w:p>
    <w:p w14:paraId="1E357F69" w14:textId="77777777" w:rsidR="004E6B93" w:rsidRDefault="0078359C">
      <w:pPr>
        <w:jc w:val="center"/>
        <w:rPr>
          <w:sz w:val="18"/>
          <w:szCs w:val="18"/>
        </w:rPr>
      </w:pPr>
      <w:r>
        <w:rPr>
          <w:sz w:val="18"/>
          <w:szCs w:val="18"/>
        </w:rPr>
        <w:lastRenderedPageBreak/>
        <w:t>Table 3a-d. Performance indicators for percentile channels strategy with GameChangers with different rebalance periods</w:t>
      </w:r>
    </w:p>
    <w:p w14:paraId="05659120" w14:textId="77777777" w:rsidR="004E6B93" w:rsidRDefault="0078359C">
      <w:pPr>
        <w:jc w:val="both"/>
      </w:pPr>
      <w:r>
        <w:rPr>
          <w:noProof/>
        </w:rPr>
        <w:drawing>
          <wp:inline distT="114300" distB="114300" distL="114300" distR="114300" wp14:anchorId="16F0ECC4" wp14:editId="33B7D8DF">
            <wp:extent cx="3483337" cy="2910734"/>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483337" cy="2910734"/>
                    </a:xfrm>
                    <a:prstGeom prst="rect">
                      <a:avLst/>
                    </a:prstGeom>
                    <a:ln/>
                  </pic:spPr>
                </pic:pic>
              </a:graphicData>
            </a:graphic>
          </wp:inline>
        </w:drawing>
      </w:r>
      <w:r>
        <w:rPr>
          <w:noProof/>
        </w:rPr>
        <w:drawing>
          <wp:inline distT="114300" distB="114300" distL="114300" distR="114300" wp14:anchorId="2F07A94C" wp14:editId="53F68A9F">
            <wp:extent cx="3479633" cy="2921362"/>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479633" cy="2921362"/>
                    </a:xfrm>
                    <a:prstGeom prst="rect">
                      <a:avLst/>
                    </a:prstGeom>
                    <a:ln/>
                  </pic:spPr>
                </pic:pic>
              </a:graphicData>
            </a:graphic>
          </wp:inline>
        </w:drawing>
      </w:r>
    </w:p>
    <w:p w14:paraId="247D3206" w14:textId="77777777" w:rsidR="004E6B93" w:rsidRDefault="0078359C">
      <w:pPr>
        <w:jc w:val="both"/>
      </w:pPr>
      <w:r>
        <w:rPr>
          <w:noProof/>
        </w:rPr>
        <w:drawing>
          <wp:inline distT="114300" distB="114300" distL="114300" distR="114300" wp14:anchorId="3430D093" wp14:editId="4FBE76EF">
            <wp:extent cx="3435712" cy="2879089"/>
            <wp:effectExtent l="0" t="0" r="0" b="0"/>
            <wp:docPr id="5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6"/>
                    <a:srcRect/>
                    <a:stretch>
                      <a:fillRect/>
                    </a:stretch>
                  </pic:blipFill>
                  <pic:spPr>
                    <a:xfrm>
                      <a:off x="0" y="0"/>
                      <a:ext cx="3435712" cy="2879089"/>
                    </a:xfrm>
                    <a:prstGeom prst="rect">
                      <a:avLst/>
                    </a:prstGeom>
                    <a:ln/>
                  </pic:spPr>
                </pic:pic>
              </a:graphicData>
            </a:graphic>
          </wp:inline>
        </w:drawing>
      </w:r>
      <w:r>
        <w:rPr>
          <w:noProof/>
        </w:rPr>
        <w:drawing>
          <wp:inline distT="114300" distB="114300" distL="114300" distR="114300" wp14:anchorId="58E59F5E" wp14:editId="7C1FAC3E">
            <wp:extent cx="3498109" cy="2888888"/>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3498109" cy="2888888"/>
                    </a:xfrm>
                    <a:prstGeom prst="rect">
                      <a:avLst/>
                    </a:prstGeom>
                    <a:ln/>
                  </pic:spPr>
                </pic:pic>
              </a:graphicData>
            </a:graphic>
          </wp:inline>
        </w:drawing>
      </w:r>
    </w:p>
    <w:p w14:paraId="71F4C8E6" w14:textId="77777777" w:rsidR="004E6B93" w:rsidRDefault="004E6B93">
      <w:pPr>
        <w:jc w:val="both"/>
      </w:pPr>
    </w:p>
    <w:p w14:paraId="56CC0CA6" w14:textId="77777777" w:rsidR="004E6B93" w:rsidRDefault="004E6B93">
      <w:pPr>
        <w:jc w:val="center"/>
      </w:pPr>
    </w:p>
    <w:p w14:paraId="6D0E2820" w14:textId="77777777" w:rsidR="004E6B93" w:rsidRDefault="0078359C">
      <w:pPr>
        <w:jc w:val="both"/>
      </w:pPr>
      <w:r>
        <w:t xml:space="preserve">However, comparing yearly CAGRs we can spot that there was a </w:t>
      </w:r>
      <w:r>
        <w:rPr>
          <w:b/>
        </w:rPr>
        <w:t>huge difference in 2011</w:t>
      </w:r>
      <w:r>
        <w:t xml:space="preserve"> between monthly and weekly rebalance (+19.7%</w:t>
      </w:r>
      <w:r>
        <w:t xml:space="preserve"> vs -4%). What could happen here?</w:t>
      </w:r>
    </w:p>
    <w:p w14:paraId="53263C13" w14:textId="77777777" w:rsidR="004E6B93" w:rsidRDefault="004E6B93">
      <w:pPr>
        <w:jc w:val="both"/>
      </w:pPr>
    </w:p>
    <w:p w14:paraId="7CDB86D5" w14:textId="77777777" w:rsidR="004E6B93" w:rsidRDefault="0078359C">
      <w:pPr>
        <w:jc w:val="both"/>
      </w:pPr>
      <w:r>
        <w:t>In Chart 4a-c we can see the comparison of monthly and weekly rebalance year by year. We calculated the ratio of the two different PVs for each year, starting the two different portfolios from the same level in each calen</w:t>
      </w:r>
      <w:r>
        <w:t>dar year.</w:t>
      </w:r>
    </w:p>
    <w:p w14:paraId="0CD082BB" w14:textId="77777777" w:rsidR="004E6B93" w:rsidRDefault="0078359C">
      <w:pPr>
        <w:jc w:val="both"/>
      </w:pPr>
      <w:r>
        <w:t>We can see that this ratio typically was in the [0.9, 1.1] range in each year (only 2008 went slightly below 0.9) - but during the last third of 2011 monthly PV boosted over weekly one and their ratio reached a peak of 1.25 until the end of the y</w:t>
      </w:r>
      <w:r>
        <w:t>ear.</w:t>
      </w:r>
    </w:p>
    <w:p w14:paraId="36340265" w14:textId="77777777" w:rsidR="004E6B93" w:rsidRDefault="004E6B93">
      <w:pPr>
        <w:jc w:val="both"/>
      </w:pPr>
    </w:p>
    <w:p w14:paraId="044CBAF5" w14:textId="77777777" w:rsidR="004E6B93" w:rsidRDefault="0078359C">
      <w:pPr>
        <w:jc w:val="both"/>
      </w:pPr>
      <w:r>
        <w:t xml:space="preserve">If we take a look on their exact PV instead of the ratios of them (see Chart 4d) than it is clear that we have to dig deeper for the reasons somewhere in </w:t>
      </w:r>
      <w:r>
        <w:rPr>
          <w:b/>
        </w:rPr>
        <w:t>2011 August-September</w:t>
      </w:r>
      <w:r>
        <w:t>.</w:t>
      </w:r>
    </w:p>
    <w:p w14:paraId="0EACE974" w14:textId="77777777" w:rsidR="004E6B93" w:rsidRDefault="004E6B93">
      <w:pPr>
        <w:jc w:val="center"/>
      </w:pPr>
    </w:p>
    <w:p w14:paraId="1A84AD35" w14:textId="77777777" w:rsidR="004E6B93" w:rsidRDefault="0078359C">
      <w:pPr>
        <w:jc w:val="center"/>
        <w:rPr>
          <w:sz w:val="18"/>
          <w:szCs w:val="18"/>
        </w:rPr>
      </w:pPr>
      <w:r>
        <w:br w:type="page"/>
      </w:r>
    </w:p>
    <w:p w14:paraId="6EF58838" w14:textId="77777777" w:rsidR="004E6B93" w:rsidRDefault="0078359C">
      <w:pPr>
        <w:jc w:val="center"/>
      </w:pPr>
      <w:r>
        <w:rPr>
          <w:sz w:val="18"/>
          <w:szCs w:val="18"/>
        </w:rPr>
        <w:lastRenderedPageBreak/>
        <w:t>Chart 4a-c. Evolution of monthly rebalanced PV / weekly rebalanced PV during a given year in yearly breakdown</w:t>
      </w:r>
    </w:p>
    <w:p w14:paraId="5C77AE80" w14:textId="77777777" w:rsidR="004E6B93" w:rsidRDefault="0078359C">
      <w:pPr>
        <w:jc w:val="center"/>
      </w:pPr>
      <w:r>
        <w:rPr>
          <w:noProof/>
        </w:rPr>
        <w:drawing>
          <wp:inline distT="114300" distB="114300" distL="114300" distR="114300" wp14:anchorId="661FB138" wp14:editId="68DEA45B">
            <wp:extent cx="7052400" cy="5118100"/>
            <wp:effectExtent l="0" t="0" r="0" b="0"/>
            <wp:docPr id="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7052400" cy="5118100"/>
                    </a:xfrm>
                    <a:prstGeom prst="rect">
                      <a:avLst/>
                    </a:prstGeom>
                    <a:ln/>
                  </pic:spPr>
                </pic:pic>
              </a:graphicData>
            </a:graphic>
          </wp:inline>
        </w:drawing>
      </w:r>
    </w:p>
    <w:p w14:paraId="766E3C8A" w14:textId="77777777" w:rsidR="004E6B93" w:rsidRDefault="004E6B93">
      <w:pPr>
        <w:jc w:val="center"/>
      </w:pPr>
    </w:p>
    <w:p w14:paraId="7E156461" w14:textId="77777777" w:rsidR="004E6B93" w:rsidRDefault="0078359C">
      <w:pPr>
        <w:jc w:val="both"/>
      </w:pPr>
      <w:r>
        <w:rPr>
          <w:noProof/>
        </w:rPr>
        <w:drawing>
          <wp:inline distT="114300" distB="114300" distL="114300" distR="114300" wp14:anchorId="4054304B" wp14:editId="78CD8309">
            <wp:extent cx="3445238" cy="249967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445238" cy="2499670"/>
                    </a:xfrm>
                    <a:prstGeom prst="rect">
                      <a:avLst/>
                    </a:prstGeom>
                    <a:ln/>
                  </pic:spPr>
                </pic:pic>
              </a:graphicData>
            </a:graphic>
          </wp:inline>
        </w:drawing>
      </w:r>
      <w:r>
        <w:rPr>
          <w:noProof/>
        </w:rPr>
        <w:drawing>
          <wp:inline distT="114300" distB="114300" distL="114300" distR="114300" wp14:anchorId="7F28EFA5" wp14:editId="607E850D">
            <wp:extent cx="3435712" cy="2494421"/>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3435712" cy="2494421"/>
                    </a:xfrm>
                    <a:prstGeom prst="rect">
                      <a:avLst/>
                    </a:prstGeom>
                    <a:ln/>
                  </pic:spPr>
                </pic:pic>
              </a:graphicData>
            </a:graphic>
          </wp:inline>
        </w:drawing>
      </w:r>
    </w:p>
    <w:p w14:paraId="15B8CCF6" w14:textId="77777777" w:rsidR="004E6B93" w:rsidRDefault="0078359C">
      <w:pPr>
        <w:jc w:val="center"/>
        <w:rPr>
          <w:sz w:val="18"/>
          <w:szCs w:val="18"/>
        </w:rPr>
      </w:pPr>
      <w:r>
        <w:br w:type="page"/>
      </w:r>
    </w:p>
    <w:p w14:paraId="6D9BA63F" w14:textId="77777777" w:rsidR="004E6B93" w:rsidRDefault="0078359C">
      <w:pPr>
        <w:jc w:val="center"/>
      </w:pPr>
      <w:r>
        <w:rPr>
          <w:sz w:val="18"/>
          <w:szCs w:val="18"/>
        </w:rPr>
        <w:lastRenderedPageBreak/>
        <w:t>Chart 4d. PV of monthly and weekly rebalanced percentile channels strategy for GameChangers in 2011</w:t>
      </w:r>
    </w:p>
    <w:p w14:paraId="0745B786" w14:textId="77777777" w:rsidR="004E6B93" w:rsidRDefault="0078359C">
      <w:pPr>
        <w:jc w:val="both"/>
      </w:pPr>
      <w:r>
        <w:rPr>
          <w:noProof/>
        </w:rPr>
        <w:drawing>
          <wp:inline distT="114300" distB="114300" distL="114300" distR="114300" wp14:anchorId="70C32427" wp14:editId="094EE39B">
            <wp:extent cx="6598013" cy="4788017"/>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6598013" cy="4788017"/>
                    </a:xfrm>
                    <a:prstGeom prst="rect">
                      <a:avLst/>
                    </a:prstGeom>
                    <a:ln/>
                  </pic:spPr>
                </pic:pic>
              </a:graphicData>
            </a:graphic>
          </wp:inline>
        </w:drawing>
      </w:r>
    </w:p>
    <w:p w14:paraId="189E543E" w14:textId="77777777" w:rsidR="004E6B93" w:rsidRDefault="004E6B93">
      <w:pPr>
        <w:jc w:val="both"/>
      </w:pPr>
    </w:p>
    <w:p w14:paraId="0D1289B8" w14:textId="77777777" w:rsidR="004E6B93" w:rsidRDefault="0078359C">
      <w:pPr>
        <w:jc w:val="both"/>
      </w:pPr>
      <w:r>
        <w:t>Let’s see the detailed numbers in t</w:t>
      </w:r>
      <w:r>
        <w:t>he period of [2011-08-22, 2011-09-22] in Table 5.</w:t>
      </w:r>
    </w:p>
    <w:p w14:paraId="1B3A1E5B" w14:textId="77777777" w:rsidR="004E6B93" w:rsidRDefault="004E6B93">
      <w:pPr>
        <w:jc w:val="both"/>
      </w:pPr>
    </w:p>
    <w:p w14:paraId="1FAB399D" w14:textId="77777777" w:rsidR="004E6B93" w:rsidRDefault="0078359C">
      <w:pPr>
        <w:jc w:val="both"/>
      </w:pPr>
      <w:r>
        <w:t xml:space="preserve">What we can learn here is that in </w:t>
      </w:r>
      <w:r>
        <w:rPr>
          <w:b/>
        </w:rPr>
        <w:t>weekly rebalanced strategy</w:t>
      </w:r>
      <w:r>
        <w:t xml:space="preserve"> our position </w:t>
      </w:r>
      <w:proofErr w:type="gramStart"/>
      <w:r>
        <w:rPr>
          <w:b/>
        </w:rPr>
        <w:t>were</w:t>
      </w:r>
      <w:proofErr w:type="gramEnd"/>
      <w:r>
        <w:rPr>
          <w:b/>
        </w:rPr>
        <w:t xml:space="preserve"> mainly in TLT</w:t>
      </w:r>
      <w:r>
        <w:t xml:space="preserve"> (~89%) for the last days of August and only the rest (~11%) was in AAPL. Meanwhile </w:t>
      </w:r>
      <w:r>
        <w:rPr>
          <w:b/>
        </w:rPr>
        <w:t>monthly rebalanced</w:t>
      </w:r>
      <w:r>
        <w:t xml:space="preserve"> strategy s</w:t>
      </w:r>
      <w:r>
        <w:t xml:space="preserve">tayed </w:t>
      </w:r>
      <w:r>
        <w:rPr>
          <w:b/>
        </w:rPr>
        <w:t>only 5% in TLT</w:t>
      </w:r>
      <w:r>
        <w:t xml:space="preserve">.  This means that monthly rebalanced strategy could earn the profit from the high yields of AAPL, AMZN, BIDU, CRM, NFLX and TCEHY on 2011-08-23 (and 2011-08-29). </w:t>
      </w:r>
      <w:proofErr w:type="gramStart"/>
      <w:r>
        <w:t>Of course</w:t>
      </w:r>
      <w:proofErr w:type="gramEnd"/>
      <w:r>
        <w:t xml:space="preserve"> similar things happened from time to time (i.e. that weekly/mon</w:t>
      </w:r>
      <w:r>
        <w:t>thly strategy was mainly in TLT while the other one was not) - this was interesting because of the extent of the mentioned daily % changes.</w:t>
      </w:r>
    </w:p>
    <w:p w14:paraId="06CE0A7D" w14:textId="77777777" w:rsidR="004E6B93" w:rsidRDefault="004E6B93">
      <w:pPr>
        <w:jc w:val="both"/>
      </w:pPr>
    </w:p>
    <w:p w14:paraId="297517B5" w14:textId="77777777" w:rsidR="004E6B93" w:rsidRDefault="0078359C">
      <w:pPr>
        <w:jc w:val="both"/>
      </w:pPr>
      <w:proofErr w:type="gramStart"/>
      <w:r>
        <w:t>Actually</w:t>
      </w:r>
      <w:proofErr w:type="gramEnd"/>
      <w:r>
        <w:t xml:space="preserve"> the daily %change of 2011-08-23 in the analyzed period was the </w:t>
      </w:r>
    </w:p>
    <w:p w14:paraId="0C1B3A5F" w14:textId="77777777" w:rsidR="004E6B93" w:rsidRDefault="0078359C">
      <w:pPr>
        <w:numPr>
          <w:ilvl w:val="0"/>
          <w:numId w:val="6"/>
        </w:numPr>
        <w:jc w:val="both"/>
      </w:pPr>
      <w:r>
        <w:t xml:space="preserve">86th highest for AAPL during 4027 trading </w:t>
      </w:r>
      <w:r>
        <w:t>days (so in the best 2.1%)</w:t>
      </w:r>
    </w:p>
    <w:p w14:paraId="0B9B0A28" w14:textId="77777777" w:rsidR="004E6B93" w:rsidRDefault="0078359C">
      <w:pPr>
        <w:numPr>
          <w:ilvl w:val="0"/>
          <w:numId w:val="6"/>
        </w:numPr>
        <w:jc w:val="both"/>
      </w:pPr>
      <w:r>
        <w:t>26th highest for AMZN during 4027 trading days (so in the best 0.7%)</w:t>
      </w:r>
    </w:p>
    <w:p w14:paraId="55E16A7C" w14:textId="77777777" w:rsidR="004E6B93" w:rsidRDefault="0078359C">
      <w:pPr>
        <w:numPr>
          <w:ilvl w:val="0"/>
          <w:numId w:val="6"/>
        </w:numPr>
        <w:jc w:val="both"/>
      </w:pPr>
      <w:r>
        <w:t>64th highest for BIDU during 3373 trading days (so in the best 1.9%)</w:t>
      </w:r>
    </w:p>
    <w:p w14:paraId="43BEFB9A" w14:textId="77777777" w:rsidR="004E6B93" w:rsidRDefault="0078359C">
      <w:pPr>
        <w:numPr>
          <w:ilvl w:val="0"/>
          <w:numId w:val="6"/>
        </w:numPr>
        <w:jc w:val="both"/>
      </w:pPr>
      <w:r>
        <w:t>61st highest for CRM during 3656 trading days (so in the best 1.7%)</w:t>
      </w:r>
    </w:p>
    <w:p w14:paraId="10C713A5" w14:textId="77777777" w:rsidR="004E6B93" w:rsidRDefault="0078359C">
      <w:pPr>
        <w:numPr>
          <w:ilvl w:val="0"/>
          <w:numId w:val="6"/>
        </w:numPr>
        <w:jc w:val="both"/>
      </w:pPr>
      <w:r>
        <w:t xml:space="preserve">75th highest for GOOGL </w:t>
      </w:r>
      <w:r>
        <w:t>during 3616 trading days (so in the best 2.1%)</w:t>
      </w:r>
    </w:p>
    <w:p w14:paraId="40496C78" w14:textId="77777777" w:rsidR="004E6B93" w:rsidRDefault="0078359C">
      <w:pPr>
        <w:numPr>
          <w:ilvl w:val="0"/>
          <w:numId w:val="6"/>
        </w:numPr>
        <w:jc w:val="both"/>
      </w:pPr>
      <w:r>
        <w:t>125th highest for MSFT during 4027 trading days (so in the best 3.1%)</w:t>
      </w:r>
    </w:p>
    <w:p w14:paraId="5BD31507" w14:textId="77777777" w:rsidR="004E6B93" w:rsidRDefault="0078359C">
      <w:pPr>
        <w:numPr>
          <w:ilvl w:val="0"/>
          <w:numId w:val="6"/>
        </w:numPr>
        <w:jc w:val="both"/>
      </w:pPr>
      <w:r>
        <w:t>97th highest for NFLX during 4027 trading days and (so in the best 2.4%)</w:t>
      </w:r>
    </w:p>
    <w:p w14:paraId="4BDA9ACA" w14:textId="77777777" w:rsidR="004E6B93" w:rsidRDefault="0078359C">
      <w:pPr>
        <w:numPr>
          <w:ilvl w:val="0"/>
          <w:numId w:val="6"/>
        </w:numPr>
        <w:jc w:val="both"/>
      </w:pPr>
      <w:r>
        <w:t>31st highest for TCEHY during 2262 trading days (so in the best 1.</w:t>
      </w:r>
      <w:r>
        <w:t xml:space="preserve">4%). </w:t>
      </w:r>
    </w:p>
    <w:p w14:paraId="1C710AC8" w14:textId="77777777" w:rsidR="004E6B93" w:rsidRDefault="004E6B93">
      <w:pPr>
        <w:jc w:val="both"/>
      </w:pPr>
    </w:p>
    <w:p w14:paraId="37B75480" w14:textId="77777777" w:rsidR="004E6B93" w:rsidRDefault="0078359C">
      <w:pPr>
        <w:jc w:val="both"/>
      </w:pPr>
      <w:r>
        <w:lastRenderedPageBreak/>
        <w:t xml:space="preserve">All in </w:t>
      </w:r>
      <w:proofErr w:type="gramStart"/>
      <w:r>
        <w:t>all</w:t>
      </w:r>
      <w:proofErr w:type="gramEnd"/>
      <w:r>
        <w:t xml:space="preserve"> it means that </w:t>
      </w:r>
      <w:r>
        <w:rPr>
          <w:b/>
        </w:rPr>
        <w:t>2011-08-23 was generally a good day</w:t>
      </w:r>
      <w:r>
        <w:t xml:space="preserve"> - actually the 4th best day</w:t>
      </w:r>
      <w:r>
        <w:rPr>
          <w:vertAlign w:val="superscript"/>
        </w:rPr>
        <w:footnoteReference w:id="1"/>
      </w:r>
      <w:r>
        <w:t xml:space="preserve"> in the period of [2002-12-31,2018-12-31]. Because in monthly rebalanced strategy we were mainly in stock position we could earn 5.3% on that single day which </w:t>
      </w:r>
      <w:r>
        <w:t xml:space="preserve">was </w:t>
      </w:r>
      <w:r>
        <w:rPr>
          <w:b/>
        </w:rPr>
        <w:t>6.0% more</w:t>
      </w:r>
      <w:r>
        <w:t xml:space="preserve"> than the -0.7% of weekly rebalanced strategy. We </w:t>
      </w:r>
      <w:r>
        <w:rPr>
          <w:b/>
        </w:rPr>
        <w:t>also had ~2% advantage</w:t>
      </w:r>
      <w:r>
        <w:t xml:space="preserve"> on 2011-08-24, 2011-08-26, 2011-08-31, 2011-09-21, 2011-09-22 and </w:t>
      </w:r>
      <w:r>
        <w:rPr>
          <w:b/>
        </w:rPr>
        <w:t>3.6%</w:t>
      </w:r>
      <w:r>
        <w:t xml:space="preserve"> on 2011-08-29 too. </w:t>
      </w:r>
    </w:p>
    <w:p w14:paraId="0F319509" w14:textId="77777777" w:rsidR="004E6B93" w:rsidRDefault="004E6B93">
      <w:pPr>
        <w:jc w:val="both"/>
      </w:pPr>
    </w:p>
    <w:p w14:paraId="7C2F2846" w14:textId="77777777" w:rsidR="004E6B93" w:rsidRDefault="0078359C">
      <w:pPr>
        <w:jc w:val="both"/>
      </w:pPr>
      <w:r>
        <w:t>(Actually on 2011-09-21 and 2011-09-22 the opposite thing happened: monthly re</w:t>
      </w:r>
      <w:r>
        <w:t>balanced strategy was mainly in TLT (76%) and therefore suffered a small loss because of the negative daily % change of AAPL and MSFT on those days and earned more from TLT’s 3.3-3.8%).</w:t>
      </w:r>
    </w:p>
    <w:p w14:paraId="3828F380" w14:textId="77777777" w:rsidR="004E6B93" w:rsidRDefault="004E6B93">
      <w:pPr>
        <w:jc w:val="both"/>
      </w:pPr>
    </w:p>
    <w:p w14:paraId="161248E6" w14:textId="77777777" w:rsidR="004E6B93" w:rsidRDefault="0078359C">
      <w:pPr>
        <w:jc w:val="both"/>
      </w:pPr>
      <w:proofErr w:type="gramStart"/>
      <w:r>
        <w:t>So</w:t>
      </w:r>
      <w:proofErr w:type="gramEnd"/>
      <w:r>
        <w:t xml:space="preserve"> during these 30 days from 2011-08-22 until 2011-09-22 </w:t>
      </w:r>
      <w:r>
        <w:rPr>
          <w:b/>
        </w:rPr>
        <w:t>monthly rebalanced strategy boosted out the weekly one</w:t>
      </w:r>
      <w:r>
        <w:t xml:space="preserve"> </w:t>
      </w:r>
      <w:r>
        <w:rPr>
          <w:b/>
        </w:rPr>
        <w:t>simply because of the lucky difference in weights</w:t>
      </w:r>
      <w:r>
        <w:t xml:space="preserve">. </w:t>
      </w:r>
    </w:p>
    <w:p w14:paraId="56835966" w14:textId="77777777" w:rsidR="004E6B93" w:rsidRDefault="004E6B93">
      <w:pPr>
        <w:jc w:val="both"/>
      </w:pPr>
    </w:p>
    <w:p w14:paraId="08098097" w14:textId="77777777" w:rsidR="004E6B93" w:rsidRDefault="0078359C">
      <w:pPr>
        <w:jc w:val="center"/>
        <w:rPr>
          <w:sz w:val="18"/>
          <w:szCs w:val="18"/>
        </w:rPr>
      </w:pPr>
      <w:r>
        <w:rPr>
          <w:sz w:val="18"/>
          <w:szCs w:val="18"/>
        </w:rPr>
        <w:t>Table 5. Daily weights and %changes in weekly and monthly rebalanced percentile channels strategy for GameChangers between 2011-08-22 and 2011-09-22</w:t>
      </w:r>
    </w:p>
    <w:p w14:paraId="6F96CEDC" w14:textId="77777777" w:rsidR="004E6B93" w:rsidRDefault="0078359C">
      <w:pPr>
        <w:jc w:val="both"/>
      </w:pPr>
      <w:r>
        <w:rPr>
          <w:noProof/>
        </w:rPr>
        <w:drawing>
          <wp:inline distT="114300" distB="114300" distL="114300" distR="114300" wp14:anchorId="327E7977" wp14:editId="3906A100">
            <wp:extent cx="7052400" cy="5295900"/>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7052400" cy="5295900"/>
                    </a:xfrm>
                    <a:prstGeom prst="rect">
                      <a:avLst/>
                    </a:prstGeom>
                    <a:ln/>
                  </pic:spPr>
                </pic:pic>
              </a:graphicData>
            </a:graphic>
          </wp:inline>
        </w:drawing>
      </w:r>
    </w:p>
    <w:p w14:paraId="078ABBFF" w14:textId="77777777" w:rsidR="004E6B93" w:rsidRDefault="004E6B93">
      <w:pPr>
        <w:jc w:val="both"/>
      </w:pPr>
    </w:p>
    <w:p w14:paraId="705AD2AA" w14:textId="77777777" w:rsidR="004E6B93" w:rsidRDefault="0078359C">
      <w:pPr>
        <w:jc w:val="both"/>
      </w:pPr>
      <w:r>
        <w:br w:type="page"/>
      </w:r>
    </w:p>
    <w:p w14:paraId="6750CA54" w14:textId="77777777" w:rsidR="004E6B93" w:rsidRDefault="0078359C">
      <w:pPr>
        <w:jc w:val="both"/>
      </w:pPr>
      <w:r>
        <w:lastRenderedPageBreak/>
        <w:t>For comparison reasons let’s check the best 10 days in the mentioned 16 years:</w:t>
      </w:r>
    </w:p>
    <w:p w14:paraId="216EDB0C" w14:textId="77777777" w:rsidR="004E6B93" w:rsidRDefault="004E6B93">
      <w:pPr>
        <w:jc w:val="both"/>
      </w:pPr>
    </w:p>
    <w:p w14:paraId="34D62FBB" w14:textId="77777777" w:rsidR="004E6B93" w:rsidRDefault="0078359C">
      <w:pPr>
        <w:jc w:val="center"/>
        <w:rPr>
          <w:sz w:val="18"/>
          <w:szCs w:val="18"/>
        </w:rPr>
      </w:pPr>
      <w:r>
        <w:rPr>
          <w:sz w:val="18"/>
          <w:szCs w:val="18"/>
        </w:rPr>
        <w:t>Table 6. Daily weights</w:t>
      </w:r>
      <w:r>
        <w:rPr>
          <w:sz w:val="18"/>
          <w:szCs w:val="18"/>
        </w:rPr>
        <w:t xml:space="preserve"> and %changes in weekly and monthly rebalanced percentile channels strategy for GameChangers </w:t>
      </w:r>
    </w:p>
    <w:p w14:paraId="17F1E0A5" w14:textId="77777777" w:rsidR="004E6B93" w:rsidRDefault="0078359C">
      <w:pPr>
        <w:jc w:val="center"/>
      </w:pPr>
      <w:r>
        <w:rPr>
          <w:sz w:val="18"/>
          <w:szCs w:val="18"/>
        </w:rPr>
        <w:t>for top 10 days during 2003-2018</w:t>
      </w:r>
    </w:p>
    <w:p w14:paraId="3543C6E6" w14:textId="77777777" w:rsidR="004E6B93" w:rsidRDefault="0078359C">
      <w:pPr>
        <w:jc w:val="both"/>
      </w:pPr>
      <w:r>
        <w:rPr>
          <w:noProof/>
        </w:rPr>
        <w:drawing>
          <wp:inline distT="114300" distB="114300" distL="114300" distR="114300" wp14:anchorId="4E5B3D83" wp14:editId="1D53B37E">
            <wp:extent cx="7052400" cy="18542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7052400" cy="1854200"/>
                    </a:xfrm>
                    <a:prstGeom prst="rect">
                      <a:avLst/>
                    </a:prstGeom>
                    <a:ln/>
                  </pic:spPr>
                </pic:pic>
              </a:graphicData>
            </a:graphic>
          </wp:inline>
        </w:drawing>
      </w:r>
    </w:p>
    <w:p w14:paraId="04323ECC" w14:textId="77777777" w:rsidR="004E6B93" w:rsidRDefault="004E6B93">
      <w:pPr>
        <w:jc w:val="both"/>
      </w:pPr>
    </w:p>
    <w:p w14:paraId="169FD867" w14:textId="77777777" w:rsidR="004E6B93" w:rsidRDefault="0078359C">
      <w:pPr>
        <w:jc w:val="both"/>
      </w:pPr>
      <w:r>
        <w:t xml:space="preserve">We can see that only 2 times (2008-09-18 and 2011-08-23) out of 10 were the performance of the monthly rebalanced tactic much </w:t>
      </w:r>
      <w:r>
        <w:t xml:space="preserve">higher (see the yellow cells). </w:t>
      </w:r>
      <w:proofErr w:type="gramStart"/>
      <w:r>
        <w:t>Also</w:t>
      </w:r>
      <w:proofErr w:type="gramEnd"/>
      <w:r>
        <w:t xml:space="preserve"> only in two cases were TLT’s weight close to zero (in August 2011, see the grey cells) - but in the first case TLT’s weight was also low in weekly rebalanced tactic, so in that case there wasn’t so high difference betwee</w:t>
      </w:r>
      <w:r>
        <w:t>n the two tactics.</w:t>
      </w:r>
    </w:p>
    <w:p w14:paraId="0D3D950D" w14:textId="77777777" w:rsidR="004E6B93" w:rsidRDefault="004E6B93">
      <w:pPr>
        <w:jc w:val="both"/>
      </w:pPr>
    </w:p>
    <w:p w14:paraId="0E8BDEF4" w14:textId="77777777" w:rsidR="004E6B93" w:rsidRDefault="0078359C">
      <w:pPr>
        <w:jc w:val="both"/>
      </w:pPr>
      <w:r>
        <w:t xml:space="preserve">It’s also interesting that 5 out of top 10 days took place during the autumn of 2008 - but during these months both tactics were mainly in TLT (weekly one was actually only in TLT) and therefore the difference between them also was not </w:t>
      </w:r>
      <w:r>
        <w:t>high (except on 2008-09-18</w:t>
      </w:r>
      <w:proofErr w:type="gramStart"/>
      <w:r>
        <w:t>).-</w:t>
      </w:r>
      <w:proofErr w:type="gramEnd"/>
    </w:p>
    <w:p w14:paraId="26F4F834" w14:textId="77777777" w:rsidR="004E6B93" w:rsidRDefault="004E6B93">
      <w:pPr>
        <w:jc w:val="both"/>
      </w:pPr>
    </w:p>
    <w:p w14:paraId="1EE2BA42" w14:textId="77777777" w:rsidR="004E6B93" w:rsidRDefault="0078359C">
      <w:pPr>
        <w:jc w:val="both"/>
      </w:pPr>
      <w:proofErr w:type="gramStart"/>
      <w:r>
        <w:t>So</w:t>
      </w:r>
      <w:proofErr w:type="gramEnd"/>
      <w:r>
        <w:t xml:space="preserve"> all in all in the long term CAGR of monthly tactic was slightly higher - however maxDD was lower for weekly tactic. </w:t>
      </w:r>
      <w:r>
        <w:rPr>
          <w:b/>
        </w:rPr>
        <w:t>We</w:t>
      </w:r>
      <w:r>
        <w:t xml:space="preserve"> also </w:t>
      </w:r>
      <w:r>
        <w:rPr>
          <w:b/>
        </w:rPr>
        <w:t>saw that an unfortunate/late change in weights can cause even 20% difference between the two tacti</w:t>
      </w:r>
      <w:r>
        <w:rPr>
          <w:b/>
        </w:rPr>
        <w:t>cs in short term</w:t>
      </w:r>
      <w:r>
        <w:t xml:space="preserve">. </w:t>
      </w:r>
    </w:p>
    <w:p w14:paraId="7B1047DF" w14:textId="77777777" w:rsidR="004E6B93" w:rsidRDefault="004E6B93">
      <w:pPr>
        <w:jc w:val="both"/>
      </w:pPr>
    </w:p>
    <w:p w14:paraId="3AA2244F" w14:textId="77777777" w:rsidR="004E6B93" w:rsidRDefault="0078359C">
      <w:pPr>
        <w:jc w:val="both"/>
      </w:pPr>
      <w:r>
        <w:br w:type="page"/>
      </w:r>
    </w:p>
    <w:p w14:paraId="7957AC8F" w14:textId="77777777" w:rsidR="004E6B93" w:rsidRDefault="0078359C">
      <w:pPr>
        <w:jc w:val="both"/>
      </w:pPr>
      <w:r>
        <w:lastRenderedPageBreak/>
        <w:t xml:space="preserve">Now let’s focus on the answer for </w:t>
      </w:r>
      <w:r>
        <w:rPr>
          <w:b/>
        </w:rPr>
        <w:t>our second question</w:t>
      </w:r>
      <w:r>
        <w:t>:</w:t>
      </w:r>
    </w:p>
    <w:p w14:paraId="3383DD31" w14:textId="77777777" w:rsidR="004E6B93" w:rsidRDefault="0078359C">
      <w:pPr>
        <w:numPr>
          <w:ilvl w:val="0"/>
          <w:numId w:val="3"/>
        </w:numPr>
        <w:jc w:val="both"/>
      </w:pPr>
      <w:r>
        <w:t xml:space="preserve">Will be our result </w:t>
      </w:r>
      <w:r>
        <w:rPr>
          <w:b/>
        </w:rPr>
        <w:t>better</w:t>
      </w:r>
      <w:r>
        <w:t xml:space="preserve"> with the above described strategy </w:t>
      </w:r>
      <w:r>
        <w:rPr>
          <w:b/>
        </w:rPr>
        <w:t>than</w:t>
      </w:r>
      <w:r>
        <w:t xml:space="preserve"> with </w:t>
      </w:r>
      <w:r>
        <w:rPr>
          <w:b/>
        </w:rPr>
        <w:t>simple equal-weight buy and hold strategy</w:t>
      </w:r>
      <w:r>
        <w:t>?</w:t>
      </w:r>
    </w:p>
    <w:p w14:paraId="64C9625C" w14:textId="77777777" w:rsidR="004E6B93" w:rsidRDefault="004E6B93">
      <w:pPr>
        <w:jc w:val="both"/>
      </w:pPr>
    </w:p>
    <w:p w14:paraId="1CCF6127" w14:textId="77777777" w:rsidR="004E6B93" w:rsidRDefault="0078359C">
      <w:pPr>
        <w:jc w:val="center"/>
      </w:pPr>
      <w:r>
        <w:rPr>
          <w:sz w:val="18"/>
          <w:szCs w:val="18"/>
        </w:rPr>
        <w:t>Chart 7. PV of percentile channels and equal weight strategy with</w:t>
      </w:r>
      <w:r>
        <w:rPr>
          <w:sz w:val="18"/>
          <w:szCs w:val="18"/>
        </w:rPr>
        <w:t xml:space="preserve"> GameChangers by different rebalance periods</w:t>
      </w:r>
    </w:p>
    <w:p w14:paraId="5ACEE710" w14:textId="77777777" w:rsidR="004E6B93" w:rsidRDefault="0078359C">
      <w:pPr>
        <w:jc w:val="both"/>
      </w:pPr>
      <w:r>
        <w:rPr>
          <w:noProof/>
        </w:rPr>
        <w:drawing>
          <wp:inline distT="114300" distB="114300" distL="114300" distR="114300" wp14:anchorId="2F19A7A4" wp14:editId="06410145">
            <wp:extent cx="7052400" cy="5130800"/>
            <wp:effectExtent l="0" t="0" r="0" b="0"/>
            <wp:docPr id="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4"/>
                    <a:srcRect/>
                    <a:stretch>
                      <a:fillRect/>
                    </a:stretch>
                  </pic:blipFill>
                  <pic:spPr>
                    <a:xfrm>
                      <a:off x="0" y="0"/>
                      <a:ext cx="7052400" cy="5130800"/>
                    </a:xfrm>
                    <a:prstGeom prst="rect">
                      <a:avLst/>
                    </a:prstGeom>
                    <a:ln/>
                  </pic:spPr>
                </pic:pic>
              </a:graphicData>
            </a:graphic>
          </wp:inline>
        </w:drawing>
      </w:r>
    </w:p>
    <w:p w14:paraId="4E833F1B" w14:textId="77777777" w:rsidR="004E6B93" w:rsidRDefault="004E6B93">
      <w:pPr>
        <w:jc w:val="both"/>
      </w:pPr>
    </w:p>
    <w:p w14:paraId="1C18D709" w14:textId="77777777" w:rsidR="004E6B93" w:rsidRDefault="0078359C">
      <w:pPr>
        <w:jc w:val="both"/>
      </w:pPr>
      <w:r>
        <w:br w:type="page"/>
      </w:r>
    </w:p>
    <w:p w14:paraId="7FFE4124" w14:textId="77777777" w:rsidR="004E6B93" w:rsidRDefault="0078359C">
      <w:pPr>
        <w:jc w:val="center"/>
        <w:rPr>
          <w:sz w:val="18"/>
          <w:szCs w:val="18"/>
        </w:rPr>
      </w:pPr>
      <w:r>
        <w:rPr>
          <w:sz w:val="18"/>
          <w:szCs w:val="18"/>
        </w:rPr>
        <w:lastRenderedPageBreak/>
        <w:t>Table 8. Performance indicators of equal weight strategy with GameChangers by different rebalance periods</w:t>
      </w:r>
    </w:p>
    <w:p w14:paraId="58161037" w14:textId="77777777" w:rsidR="004E6B93" w:rsidRDefault="0078359C">
      <w:pPr>
        <w:jc w:val="both"/>
      </w:pPr>
      <w:r>
        <w:rPr>
          <w:noProof/>
        </w:rPr>
        <w:drawing>
          <wp:inline distT="114300" distB="114300" distL="114300" distR="114300" wp14:anchorId="06DA5A82" wp14:editId="01CEE7AD">
            <wp:extent cx="3378562" cy="2806084"/>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3378562" cy="2806084"/>
                    </a:xfrm>
                    <a:prstGeom prst="rect">
                      <a:avLst/>
                    </a:prstGeom>
                    <a:ln/>
                  </pic:spPr>
                </pic:pic>
              </a:graphicData>
            </a:graphic>
          </wp:inline>
        </w:drawing>
      </w:r>
      <w:r>
        <w:rPr>
          <w:noProof/>
        </w:rPr>
        <w:drawing>
          <wp:inline distT="114300" distB="114300" distL="114300" distR="114300" wp14:anchorId="799A7F08" wp14:editId="37085609">
            <wp:extent cx="3594299" cy="2803162"/>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3594299" cy="2803162"/>
                    </a:xfrm>
                    <a:prstGeom prst="rect">
                      <a:avLst/>
                    </a:prstGeom>
                    <a:ln/>
                  </pic:spPr>
                </pic:pic>
              </a:graphicData>
            </a:graphic>
          </wp:inline>
        </w:drawing>
      </w:r>
    </w:p>
    <w:p w14:paraId="6178FDD9" w14:textId="77777777" w:rsidR="004E6B93" w:rsidRDefault="004E6B93">
      <w:pPr>
        <w:jc w:val="both"/>
      </w:pPr>
    </w:p>
    <w:p w14:paraId="79AF4EF0" w14:textId="77777777" w:rsidR="004E6B93" w:rsidRDefault="0078359C">
      <w:pPr>
        <w:jc w:val="both"/>
      </w:pPr>
      <w:r>
        <w:rPr>
          <w:color w:val="222222"/>
          <w:highlight w:val="white"/>
        </w:rPr>
        <w:t>According to Chart 7 and Table 8 monthly results (GameChangers + TLT) are slightly, but not significantly better than daily. Looking back to Table</w:t>
      </w:r>
      <w:r>
        <w:rPr>
          <w:color w:val="222222"/>
          <w:highlight w:val="white"/>
        </w:rPr>
        <w:t xml:space="preserve"> 3a-d we can see the monthly rebalanced Percentile Channels strategy and the equal weight has about the same profit (33.33% CAGR vs 33.00% CAGR). </w:t>
      </w:r>
      <w:proofErr w:type="gramStart"/>
      <w:r>
        <w:rPr>
          <w:color w:val="222222"/>
          <w:highlight w:val="white"/>
        </w:rPr>
        <w:t>However</w:t>
      </w:r>
      <w:proofErr w:type="gramEnd"/>
      <w:r>
        <w:rPr>
          <w:color w:val="222222"/>
          <w:highlight w:val="white"/>
        </w:rPr>
        <w:t xml:space="preserve"> SR (1.62 vs 1.33) and </w:t>
      </w:r>
      <w:r>
        <w:rPr>
          <w:b/>
          <w:color w:val="222222"/>
          <w:highlight w:val="white"/>
        </w:rPr>
        <w:t>MDD (29.7% vs 55%)</w:t>
      </w:r>
      <w:r>
        <w:rPr>
          <w:color w:val="222222"/>
          <w:highlight w:val="white"/>
        </w:rPr>
        <w:t xml:space="preserve"> are still better at </w:t>
      </w:r>
      <w:r>
        <w:rPr>
          <w:b/>
          <w:color w:val="222222"/>
          <w:highlight w:val="white"/>
        </w:rPr>
        <w:t>Percentile Channels strategy</w:t>
      </w:r>
      <w:r>
        <w:rPr>
          <w:color w:val="222222"/>
          <w:highlight w:val="white"/>
        </w:rPr>
        <w:t xml:space="preserve"> - so we </w:t>
      </w:r>
      <w:r>
        <w:rPr>
          <w:b/>
          <w:color w:val="222222"/>
          <w:highlight w:val="white"/>
        </w:rPr>
        <w:t>sugg</w:t>
      </w:r>
      <w:r>
        <w:rPr>
          <w:b/>
          <w:color w:val="222222"/>
          <w:highlight w:val="white"/>
        </w:rPr>
        <w:t>est to use that</w:t>
      </w:r>
      <w:r>
        <w:rPr>
          <w:color w:val="222222"/>
          <w:highlight w:val="white"/>
        </w:rPr>
        <w:t xml:space="preserve"> instead of simple equal weight strategy. The trend following Percentile Channels approach nicely decreases the volatility while keeping the profit about the same. At least, for these kind of momentum stocks it works brilliantly.</w:t>
      </w:r>
    </w:p>
    <w:p w14:paraId="5574369C" w14:textId="77777777" w:rsidR="004E6B93" w:rsidRDefault="004E6B93">
      <w:pPr>
        <w:jc w:val="both"/>
      </w:pPr>
    </w:p>
    <w:p w14:paraId="665FEE63" w14:textId="77777777" w:rsidR="004E6B93" w:rsidRDefault="0078359C">
      <w:pPr>
        <w:pStyle w:val="Heading2"/>
        <w:jc w:val="both"/>
        <w:rPr>
          <w:color w:val="CC0000"/>
        </w:rPr>
      </w:pPr>
      <w:bookmarkStart w:id="14" w:name="_4np141qa1gm9" w:colFirst="0" w:colLast="0"/>
      <w:bookmarkEnd w:id="14"/>
      <w:r>
        <w:rPr>
          <w:color w:val="CC0000"/>
        </w:rPr>
        <w:t>Percentile</w:t>
      </w:r>
      <w:r>
        <w:rPr>
          <w:color w:val="CC0000"/>
        </w:rPr>
        <w:t xml:space="preserve"> channels with Nasdaq100</w:t>
      </w:r>
    </w:p>
    <w:p w14:paraId="09494581" w14:textId="77777777" w:rsidR="004E6B93" w:rsidRDefault="004E6B93"/>
    <w:p w14:paraId="5AFC0ACD" w14:textId="77777777" w:rsidR="004E6B93" w:rsidRDefault="0078359C">
      <w:pPr>
        <w:jc w:val="both"/>
      </w:pPr>
      <w:r>
        <w:t xml:space="preserve">Now let’s see the same results with Nasdaq100 companies. In our calculation we didn’t use all N100 companies but estimate the portfolio by QQQ’s top 13 holdings which </w:t>
      </w:r>
      <w:r>
        <w:rPr>
          <w:b/>
        </w:rPr>
        <w:t>currently</w:t>
      </w:r>
      <w:r>
        <w:t xml:space="preserve"> covers 60% of QQQ’s asset (QQQ itself tracks a modifi</w:t>
      </w:r>
      <w:r>
        <w:t>ed-market-cap-weighted index of 100 NASDAQ-listed stocks), namely: MSFT, AAPL, AMZN, GOOGL, FB, INTC, CSCO, CMCSA, PEP, NFLX, ADBE, PYPL and AMGN.</w:t>
      </w:r>
    </w:p>
    <w:p w14:paraId="1237495F" w14:textId="77777777" w:rsidR="004E6B93" w:rsidRDefault="004E6B93">
      <w:pPr>
        <w:jc w:val="center"/>
        <w:rPr>
          <w:sz w:val="18"/>
          <w:szCs w:val="18"/>
        </w:rPr>
      </w:pPr>
    </w:p>
    <w:p w14:paraId="6E066E64" w14:textId="77777777" w:rsidR="004E6B93" w:rsidRDefault="0078359C">
      <w:pPr>
        <w:jc w:val="center"/>
      </w:pPr>
      <w:r>
        <w:rPr>
          <w:sz w:val="18"/>
          <w:szCs w:val="18"/>
        </w:rPr>
        <w:t>Table 9. Performance indicators of percentile channels strategy with top QQQ stocks by different rebalance p</w:t>
      </w:r>
      <w:r>
        <w:rPr>
          <w:sz w:val="18"/>
          <w:szCs w:val="18"/>
        </w:rPr>
        <w:t>eriods</w:t>
      </w:r>
    </w:p>
    <w:p w14:paraId="07C5EAF7" w14:textId="77777777" w:rsidR="004E6B93" w:rsidRDefault="0078359C">
      <w:pPr>
        <w:jc w:val="center"/>
      </w:pPr>
      <w:r>
        <w:rPr>
          <w:noProof/>
        </w:rPr>
        <w:drawing>
          <wp:inline distT="114300" distB="114300" distL="114300" distR="114300" wp14:anchorId="55D9790D" wp14:editId="1305C323">
            <wp:extent cx="3388087" cy="2841622"/>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3388087" cy="2841622"/>
                    </a:xfrm>
                    <a:prstGeom prst="rect">
                      <a:avLst/>
                    </a:prstGeom>
                    <a:ln/>
                  </pic:spPr>
                </pic:pic>
              </a:graphicData>
            </a:graphic>
          </wp:inline>
        </w:drawing>
      </w:r>
      <w:r>
        <w:rPr>
          <w:noProof/>
        </w:rPr>
        <w:drawing>
          <wp:inline distT="114300" distB="114300" distL="114300" distR="114300" wp14:anchorId="5F1BE044" wp14:editId="4B7786A4">
            <wp:extent cx="3383865" cy="2841262"/>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3383865" cy="2841262"/>
                    </a:xfrm>
                    <a:prstGeom prst="rect">
                      <a:avLst/>
                    </a:prstGeom>
                    <a:ln/>
                  </pic:spPr>
                </pic:pic>
              </a:graphicData>
            </a:graphic>
          </wp:inline>
        </w:drawing>
      </w:r>
    </w:p>
    <w:p w14:paraId="4ED3CA4A" w14:textId="77777777" w:rsidR="004E6B93" w:rsidRDefault="004E6B93"/>
    <w:p w14:paraId="2E045A71" w14:textId="77777777" w:rsidR="004E6B93" w:rsidRDefault="0078359C">
      <w:pPr>
        <w:jc w:val="both"/>
      </w:pPr>
      <w:r>
        <w:t xml:space="preserve">We can observe that our CAGR and SR have decreased (comparing to GameChangers 33% CAGR vs 20.3% and 1.62 SR vs 1.37) - although also our MDD improved (29.7% with GChs vs 21.7%). </w:t>
      </w:r>
      <w:r>
        <w:rPr>
          <w:color w:val="222222"/>
          <w:highlight w:val="white"/>
        </w:rPr>
        <w:t>Meanwhile for these stocks also - the less frequent - monthly rebal</w:t>
      </w:r>
      <w:r>
        <w:rPr>
          <w:color w:val="222222"/>
          <w:highlight w:val="white"/>
        </w:rPr>
        <w:t>ance seems to be a better choice.</w:t>
      </w:r>
    </w:p>
    <w:p w14:paraId="780E678E" w14:textId="77777777" w:rsidR="004E6B93" w:rsidRDefault="004E6B93">
      <w:pPr>
        <w:jc w:val="both"/>
        <w:rPr>
          <w:b/>
        </w:rPr>
      </w:pPr>
    </w:p>
    <w:p w14:paraId="5BA7AFDD" w14:textId="77777777" w:rsidR="004E6B93" w:rsidRDefault="0078359C">
      <w:pPr>
        <w:jc w:val="both"/>
      </w:pPr>
      <w:r>
        <w:t>If we compare these results to simple equal weight strategy again then we can see that (again) the monthly rebalancing shows slightly better results (22.7% CAGR vs 20.3% of with Percentile channels strategy) but it is accompanied with a lower SR (1.18 vs 1</w:t>
      </w:r>
      <w:r>
        <w:t>.37) and a higher MDD (41.6% vs 21.7%).</w:t>
      </w:r>
    </w:p>
    <w:p w14:paraId="4B12A619" w14:textId="77777777" w:rsidR="004E6B93" w:rsidRDefault="004E6B93">
      <w:pPr>
        <w:jc w:val="both"/>
      </w:pPr>
    </w:p>
    <w:p w14:paraId="257AEDBE" w14:textId="77777777" w:rsidR="004E6B93" w:rsidRDefault="0078359C">
      <w:pPr>
        <w:jc w:val="both"/>
      </w:pPr>
      <w:r>
        <w:t xml:space="preserve">What is also interesting that </w:t>
      </w:r>
      <w:r>
        <w:rPr>
          <w:b/>
        </w:rPr>
        <w:t>Percentile channels strategy with N100 had no losing year</w:t>
      </w:r>
      <w:r>
        <w:t xml:space="preserve">! </w:t>
      </w:r>
      <w:proofErr w:type="gramStart"/>
      <w:r>
        <w:t>So</w:t>
      </w:r>
      <w:proofErr w:type="gramEnd"/>
      <w:r>
        <w:t xml:space="preserve"> the </w:t>
      </w:r>
      <w:r>
        <w:rPr>
          <w:b/>
        </w:rPr>
        <w:t>overall result is again that we should use Percentile channels strategy</w:t>
      </w:r>
      <w:r>
        <w:t xml:space="preserve"> instead of simple equal weight rebalancing.</w:t>
      </w:r>
    </w:p>
    <w:p w14:paraId="77FF51A2" w14:textId="77777777" w:rsidR="004E6B93" w:rsidRDefault="004E6B93">
      <w:pPr>
        <w:jc w:val="both"/>
      </w:pPr>
    </w:p>
    <w:p w14:paraId="18EBBC39" w14:textId="77777777" w:rsidR="004E6B93" w:rsidRDefault="0078359C">
      <w:pPr>
        <w:jc w:val="center"/>
      </w:pPr>
      <w:r>
        <w:rPr>
          <w:sz w:val="18"/>
          <w:szCs w:val="18"/>
        </w:rPr>
        <w:t>Ta</w:t>
      </w:r>
      <w:r>
        <w:rPr>
          <w:sz w:val="18"/>
          <w:szCs w:val="18"/>
        </w:rPr>
        <w:t>ble 10. Performance indicators of equal weight strategy with top QQQ stocks by different rebalance periods</w:t>
      </w:r>
    </w:p>
    <w:p w14:paraId="26A0A0AA" w14:textId="77777777" w:rsidR="004E6B93" w:rsidRDefault="0078359C">
      <w:pPr>
        <w:jc w:val="both"/>
      </w:pPr>
      <w:r>
        <w:rPr>
          <w:noProof/>
        </w:rPr>
        <w:drawing>
          <wp:inline distT="114300" distB="114300" distL="114300" distR="114300" wp14:anchorId="437517AC" wp14:editId="7E19F001">
            <wp:extent cx="3369037" cy="2794770"/>
            <wp:effectExtent l="0" t="0" r="0" b="0"/>
            <wp:docPr id="2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3369037" cy="2794770"/>
                    </a:xfrm>
                    <a:prstGeom prst="rect">
                      <a:avLst/>
                    </a:prstGeom>
                    <a:ln/>
                  </pic:spPr>
                </pic:pic>
              </a:graphicData>
            </a:graphic>
          </wp:inline>
        </w:drawing>
      </w:r>
      <w:r>
        <w:rPr>
          <w:noProof/>
        </w:rPr>
        <w:drawing>
          <wp:inline distT="114300" distB="114300" distL="114300" distR="114300" wp14:anchorId="4419645A" wp14:editId="1D2BB2A1">
            <wp:extent cx="3583604" cy="2784112"/>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3583604" cy="2784112"/>
                    </a:xfrm>
                    <a:prstGeom prst="rect">
                      <a:avLst/>
                    </a:prstGeom>
                    <a:ln/>
                  </pic:spPr>
                </pic:pic>
              </a:graphicData>
            </a:graphic>
          </wp:inline>
        </w:drawing>
      </w:r>
    </w:p>
    <w:p w14:paraId="7B4057F2" w14:textId="77777777" w:rsidR="004E6B93" w:rsidRDefault="004E6B93">
      <w:pPr>
        <w:jc w:val="both"/>
      </w:pPr>
    </w:p>
    <w:p w14:paraId="6E7AD5F9" w14:textId="77777777" w:rsidR="004E6B93" w:rsidRDefault="0078359C">
      <w:pPr>
        <w:pStyle w:val="Heading2"/>
        <w:jc w:val="both"/>
        <w:rPr>
          <w:color w:val="CC0000"/>
        </w:rPr>
      </w:pPr>
      <w:bookmarkStart w:id="15" w:name="_901v56rsez01" w:colFirst="0" w:colLast="0"/>
      <w:bookmarkEnd w:id="15"/>
      <w:r>
        <w:br w:type="page"/>
      </w:r>
    </w:p>
    <w:p w14:paraId="796FA36B" w14:textId="77777777" w:rsidR="004E6B93" w:rsidRDefault="0078359C">
      <w:pPr>
        <w:pStyle w:val="Heading2"/>
        <w:jc w:val="both"/>
        <w:rPr>
          <w:color w:val="CC0000"/>
        </w:rPr>
      </w:pPr>
      <w:bookmarkStart w:id="16" w:name="_m9wtbop4f98y" w:colFirst="0" w:colLast="0"/>
      <w:bookmarkEnd w:id="16"/>
      <w:r>
        <w:rPr>
          <w:color w:val="CC0000"/>
        </w:rPr>
        <w:lastRenderedPageBreak/>
        <w:t>Extension of the above “percentile channels with Nasdaq100” results</w:t>
      </w:r>
    </w:p>
    <w:p w14:paraId="4ADD4AB6" w14:textId="77777777" w:rsidR="004E6B93" w:rsidRDefault="004E6B93"/>
    <w:p w14:paraId="26881849" w14:textId="77777777" w:rsidR="004E6B93" w:rsidRDefault="0078359C">
      <w:r>
        <w:rPr>
          <w:color w:val="222222"/>
          <w:highlight w:val="white"/>
        </w:rPr>
        <w:t xml:space="preserve">We have extended our above calculation (which used portfolio of the QQQ’s </w:t>
      </w:r>
      <w:r>
        <w:rPr>
          <w:color w:val="222222"/>
          <w:highlight w:val="white"/>
        </w:rPr>
        <w:t>top 13 holdings) with</w:t>
      </w:r>
      <w:r>
        <w:t xml:space="preserve"> </w:t>
      </w:r>
    </w:p>
    <w:p w14:paraId="4E187F23" w14:textId="77777777" w:rsidR="004E6B93" w:rsidRDefault="0078359C">
      <w:pPr>
        <w:numPr>
          <w:ilvl w:val="0"/>
          <w:numId w:val="9"/>
        </w:numPr>
      </w:pPr>
      <w:r>
        <w:t>4 additional years (to see the effect of bear the market of 2001)</w:t>
      </w:r>
    </w:p>
    <w:p w14:paraId="1CD23AA8" w14:textId="77777777" w:rsidR="004E6B93" w:rsidRDefault="0078359C">
      <w:pPr>
        <w:numPr>
          <w:ilvl w:val="0"/>
          <w:numId w:val="9"/>
        </w:numPr>
      </w:pPr>
      <w:r>
        <w:t>monthly breakdown (to see more details)</w:t>
      </w:r>
    </w:p>
    <w:p w14:paraId="482109CF" w14:textId="77777777" w:rsidR="004E6B93" w:rsidRDefault="0078359C">
      <w:pPr>
        <w:numPr>
          <w:ilvl w:val="0"/>
          <w:numId w:val="9"/>
        </w:numPr>
      </w:pPr>
      <w:r>
        <w:t>cash instead of TLT (to see the boost-effect of TLT)</w:t>
      </w:r>
      <w:r>
        <w:rPr>
          <w:vertAlign w:val="superscript"/>
        </w:rPr>
        <w:footnoteReference w:id="2"/>
      </w:r>
    </w:p>
    <w:p w14:paraId="36822EAE" w14:textId="77777777" w:rsidR="004E6B93" w:rsidRDefault="004E6B93">
      <w:pPr>
        <w:ind w:left="720"/>
      </w:pPr>
    </w:p>
    <w:p w14:paraId="3B4592F1" w14:textId="77777777" w:rsidR="004E6B93" w:rsidRDefault="0078359C">
      <w:r>
        <w:rPr>
          <w:color w:val="222222"/>
          <w:highlight w:val="white"/>
        </w:rPr>
        <w:t>We start with the default case, which uses TLT.</w:t>
      </w:r>
    </w:p>
    <w:p w14:paraId="7722F732" w14:textId="77777777" w:rsidR="004E6B93" w:rsidRDefault="004E6B93"/>
    <w:p w14:paraId="13723C97" w14:textId="77777777" w:rsidR="004E6B93" w:rsidRDefault="0078359C">
      <w:pPr>
        <w:jc w:val="center"/>
        <w:rPr>
          <w:sz w:val="18"/>
          <w:szCs w:val="18"/>
        </w:rPr>
      </w:pPr>
      <w:r>
        <w:rPr>
          <w:sz w:val="18"/>
          <w:szCs w:val="18"/>
        </w:rPr>
        <w:t>Table 11a.  Performance indicators of percentile channels strategy with top QQQ stocks by different rebalance periods,</w:t>
      </w:r>
    </w:p>
    <w:p w14:paraId="208B3769" w14:textId="77777777" w:rsidR="004E6B93" w:rsidRDefault="0078359C">
      <w:pPr>
        <w:jc w:val="center"/>
        <w:rPr>
          <w:sz w:val="18"/>
          <w:szCs w:val="18"/>
        </w:rPr>
      </w:pPr>
      <w:r>
        <w:rPr>
          <w:sz w:val="18"/>
          <w:szCs w:val="18"/>
        </w:rPr>
        <w:t>using TLT</w:t>
      </w:r>
    </w:p>
    <w:p w14:paraId="17D986B9" w14:textId="77777777" w:rsidR="004E6B93" w:rsidRDefault="0078359C">
      <w:pPr>
        <w:jc w:val="both"/>
      </w:pPr>
      <w:r>
        <w:rPr>
          <w:noProof/>
        </w:rPr>
        <w:drawing>
          <wp:inline distT="114300" distB="114300" distL="114300" distR="114300" wp14:anchorId="30708D7A" wp14:editId="68F043A1">
            <wp:extent cx="3397612" cy="3551177"/>
            <wp:effectExtent l="0" t="0" r="0" b="0"/>
            <wp:docPr id="1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srcRect/>
                    <a:stretch>
                      <a:fillRect/>
                    </a:stretch>
                  </pic:blipFill>
                  <pic:spPr>
                    <a:xfrm>
                      <a:off x="0" y="0"/>
                      <a:ext cx="3397612" cy="3551177"/>
                    </a:xfrm>
                    <a:prstGeom prst="rect">
                      <a:avLst/>
                    </a:prstGeom>
                    <a:ln/>
                  </pic:spPr>
                </pic:pic>
              </a:graphicData>
            </a:graphic>
          </wp:inline>
        </w:drawing>
      </w:r>
      <w:r>
        <w:rPr>
          <w:noProof/>
        </w:rPr>
        <w:drawing>
          <wp:inline distT="114300" distB="114300" distL="114300" distR="114300" wp14:anchorId="645F6E2C" wp14:editId="3C128366">
            <wp:extent cx="3383622" cy="3546112"/>
            <wp:effectExtent l="0" t="0" r="0" b="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3383622" cy="3546112"/>
                    </a:xfrm>
                    <a:prstGeom prst="rect">
                      <a:avLst/>
                    </a:prstGeom>
                    <a:ln/>
                  </pic:spPr>
                </pic:pic>
              </a:graphicData>
            </a:graphic>
          </wp:inline>
        </w:drawing>
      </w:r>
    </w:p>
    <w:p w14:paraId="0F1216F1" w14:textId="77777777" w:rsidR="004E6B93" w:rsidRDefault="004E6B93">
      <w:pPr>
        <w:jc w:val="both"/>
      </w:pPr>
    </w:p>
    <w:p w14:paraId="4406C3B6" w14:textId="77777777" w:rsidR="004E6B93" w:rsidRDefault="0078359C">
      <w:pPr>
        <w:jc w:val="both"/>
      </w:pPr>
      <w:r>
        <w:t xml:space="preserve">Adding years 1999-2002 to our tables somehow spoils our previous results: </w:t>
      </w:r>
      <w:r>
        <w:t xml:space="preserve">the “Percentile channels strategy with N100 had no losing year!” statement is not true anymore. Market crash in 2001 resulted -10% CAGR even with monthly rebalance (which is still better than weekly rebalance). </w:t>
      </w:r>
      <w:proofErr w:type="gramStart"/>
      <w:r>
        <w:t>However</w:t>
      </w:r>
      <w:proofErr w:type="gramEnd"/>
      <w:r>
        <w:t xml:space="preserve"> if we compared to the extended result</w:t>
      </w:r>
      <w:r>
        <w:t xml:space="preserve">s (Table 11b) of equal weight strategy then we can see that in terms of CAGR, SR and MDD this percentile channel strategy is still better. </w:t>
      </w:r>
    </w:p>
    <w:p w14:paraId="528F04BE" w14:textId="77777777" w:rsidR="004E6B93" w:rsidRDefault="004E6B93">
      <w:pPr>
        <w:jc w:val="both"/>
        <w:rPr>
          <w:color w:val="222222"/>
          <w:highlight w:val="white"/>
        </w:rPr>
      </w:pPr>
    </w:p>
    <w:p w14:paraId="53B5CEE1" w14:textId="77777777" w:rsidR="004E6B93" w:rsidRDefault="0078359C">
      <w:pPr>
        <w:jc w:val="both"/>
      </w:pPr>
      <w:r>
        <w:rPr>
          <w:color w:val="222222"/>
          <w:highlight w:val="white"/>
        </w:rPr>
        <w:t>Roughly speaking, with this robust, quasi parameter-insensitive trend-following style strategy - even including the</w:t>
      </w:r>
      <w:r>
        <w:rPr>
          <w:color w:val="222222"/>
          <w:highlight w:val="white"/>
        </w:rPr>
        <w:t xml:space="preserve"> last 2 bear markets over 20 years - approximately the CAGR are kept, while max drawdown is halved and MAR is doubled compared to the mean reversion based equal-weight rebalancing. A big success.</w:t>
      </w:r>
    </w:p>
    <w:p w14:paraId="00CE7020" w14:textId="77777777" w:rsidR="004E6B93" w:rsidRDefault="004E6B93">
      <w:pPr>
        <w:jc w:val="both"/>
      </w:pPr>
    </w:p>
    <w:p w14:paraId="0AB01BB3" w14:textId="77777777" w:rsidR="004E6B93" w:rsidRDefault="0078359C">
      <w:pPr>
        <w:jc w:val="both"/>
      </w:pPr>
      <w:r>
        <w:t>In Tables 11 c-d we can find the monthly breakdowns of Tabl</w:t>
      </w:r>
      <w:r>
        <w:t>e 11a.</w:t>
      </w:r>
    </w:p>
    <w:p w14:paraId="21234B9E" w14:textId="77777777" w:rsidR="004E6B93" w:rsidRDefault="0078359C">
      <w:pPr>
        <w:jc w:val="center"/>
        <w:rPr>
          <w:sz w:val="18"/>
          <w:szCs w:val="18"/>
        </w:rPr>
      </w:pPr>
      <w:r>
        <w:br w:type="page"/>
      </w:r>
    </w:p>
    <w:p w14:paraId="6218A41B" w14:textId="77777777" w:rsidR="004E6B93" w:rsidRDefault="0078359C">
      <w:pPr>
        <w:jc w:val="center"/>
      </w:pPr>
      <w:r>
        <w:rPr>
          <w:sz w:val="18"/>
          <w:szCs w:val="18"/>
        </w:rPr>
        <w:lastRenderedPageBreak/>
        <w:t>Table 11b. Performance indicators of equal weight buy and hold strategy with top QQQ stocks + TLT by different rebalance periods</w:t>
      </w:r>
    </w:p>
    <w:p w14:paraId="665C8EBD" w14:textId="77777777" w:rsidR="004E6B93" w:rsidRDefault="0078359C">
      <w:pPr>
        <w:jc w:val="both"/>
      </w:pPr>
      <w:r>
        <w:rPr>
          <w:noProof/>
        </w:rPr>
        <w:drawing>
          <wp:inline distT="114300" distB="114300" distL="114300" distR="114300" wp14:anchorId="2D47ABBC" wp14:editId="3194104F">
            <wp:extent cx="3490206" cy="3283313"/>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3490206" cy="3283313"/>
                    </a:xfrm>
                    <a:prstGeom prst="rect">
                      <a:avLst/>
                    </a:prstGeom>
                    <a:ln/>
                  </pic:spPr>
                </pic:pic>
              </a:graphicData>
            </a:graphic>
          </wp:inline>
        </w:drawing>
      </w:r>
      <w:r>
        <w:rPr>
          <w:noProof/>
        </w:rPr>
        <w:drawing>
          <wp:inline distT="114300" distB="114300" distL="114300" distR="114300" wp14:anchorId="18426558" wp14:editId="46368EC0">
            <wp:extent cx="3476501" cy="3269887"/>
            <wp:effectExtent l="0" t="0" r="0" b="0"/>
            <wp:docPr id="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4"/>
                    <a:srcRect/>
                    <a:stretch>
                      <a:fillRect/>
                    </a:stretch>
                  </pic:blipFill>
                  <pic:spPr>
                    <a:xfrm>
                      <a:off x="0" y="0"/>
                      <a:ext cx="3476501" cy="3269887"/>
                    </a:xfrm>
                    <a:prstGeom prst="rect">
                      <a:avLst/>
                    </a:prstGeom>
                    <a:ln/>
                  </pic:spPr>
                </pic:pic>
              </a:graphicData>
            </a:graphic>
          </wp:inline>
        </w:drawing>
      </w:r>
    </w:p>
    <w:p w14:paraId="07DCD29D" w14:textId="77777777" w:rsidR="004E6B93" w:rsidRDefault="004E6B93"/>
    <w:p w14:paraId="3D887E5E" w14:textId="77777777" w:rsidR="004E6B93" w:rsidRDefault="0078359C">
      <w:pPr>
        <w:jc w:val="center"/>
        <w:rPr>
          <w:sz w:val="18"/>
          <w:szCs w:val="18"/>
        </w:rPr>
      </w:pPr>
      <w:r>
        <w:br w:type="page"/>
      </w:r>
    </w:p>
    <w:p w14:paraId="3864B1DE" w14:textId="77777777" w:rsidR="004E6B93" w:rsidRDefault="0078359C">
      <w:pPr>
        <w:jc w:val="center"/>
      </w:pPr>
      <w:r>
        <w:rPr>
          <w:sz w:val="18"/>
          <w:szCs w:val="18"/>
        </w:rPr>
        <w:lastRenderedPageBreak/>
        <w:t>Table 11c.  Monthly %change and MDD of percentile channels strategy with top QQQ stocks, monthly rebalance</w:t>
      </w:r>
    </w:p>
    <w:p w14:paraId="0A0863B3" w14:textId="77777777" w:rsidR="004E6B93" w:rsidRDefault="0078359C">
      <w:r>
        <w:rPr>
          <w:noProof/>
        </w:rPr>
        <w:drawing>
          <wp:inline distT="114300" distB="114300" distL="114300" distR="114300" wp14:anchorId="360F34EA" wp14:editId="006DD4B2">
            <wp:extent cx="7052400" cy="6565900"/>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5"/>
                    <a:srcRect/>
                    <a:stretch>
                      <a:fillRect/>
                    </a:stretch>
                  </pic:blipFill>
                  <pic:spPr>
                    <a:xfrm>
                      <a:off x="0" y="0"/>
                      <a:ext cx="7052400" cy="6565900"/>
                    </a:xfrm>
                    <a:prstGeom prst="rect">
                      <a:avLst/>
                    </a:prstGeom>
                    <a:ln/>
                  </pic:spPr>
                </pic:pic>
              </a:graphicData>
            </a:graphic>
          </wp:inline>
        </w:drawing>
      </w:r>
    </w:p>
    <w:p w14:paraId="7EE57987" w14:textId="77777777" w:rsidR="004E6B93" w:rsidRDefault="004E6B93">
      <w:pPr>
        <w:jc w:val="center"/>
        <w:rPr>
          <w:sz w:val="18"/>
          <w:szCs w:val="18"/>
        </w:rPr>
      </w:pPr>
    </w:p>
    <w:p w14:paraId="44743664" w14:textId="77777777" w:rsidR="004E6B93" w:rsidRDefault="0078359C">
      <w:pPr>
        <w:jc w:val="center"/>
        <w:rPr>
          <w:sz w:val="18"/>
          <w:szCs w:val="18"/>
        </w:rPr>
      </w:pPr>
      <w:r>
        <w:br w:type="page"/>
      </w:r>
    </w:p>
    <w:p w14:paraId="39576808" w14:textId="77777777" w:rsidR="004E6B93" w:rsidRDefault="004E6B93">
      <w:pPr>
        <w:jc w:val="center"/>
        <w:rPr>
          <w:sz w:val="18"/>
          <w:szCs w:val="18"/>
        </w:rPr>
      </w:pPr>
    </w:p>
    <w:p w14:paraId="693EBC3E" w14:textId="77777777" w:rsidR="004E6B93" w:rsidRDefault="0078359C">
      <w:pPr>
        <w:jc w:val="center"/>
      </w:pPr>
      <w:r>
        <w:rPr>
          <w:sz w:val="18"/>
          <w:szCs w:val="18"/>
        </w:rPr>
        <w:t>Table 11d.  Monthly %change and MDD of percentile channels strategy with top QQQ stocks, weekly rebalance</w:t>
      </w:r>
    </w:p>
    <w:p w14:paraId="26C87F5A" w14:textId="77777777" w:rsidR="004E6B93" w:rsidRDefault="0078359C">
      <w:r>
        <w:rPr>
          <w:noProof/>
        </w:rPr>
        <w:drawing>
          <wp:inline distT="114300" distB="114300" distL="114300" distR="114300" wp14:anchorId="1085626B" wp14:editId="681D6DB9">
            <wp:extent cx="7052400" cy="6540500"/>
            <wp:effectExtent l="0" t="0" r="0" b="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a:srcRect/>
                    <a:stretch>
                      <a:fillRect/>
                    </a:stretch>
                  </pic:blipFill>
                  <pic:spPr>
                    <a:xfrm>
                      <a:off x="0" y="0"/>
                      <a:ext cx="7052400" cy="6540500"/>
                    </a:xfrm>
                    <a:prstGeom prst="rect">
                      <a:avLst/>
                    </a:prstGeom>
                    <a:ln/>
                  </pic:spPr>
                </pic:pic>
              </a:graphicData>
            </a:graphic>
          </wp:inline>
        </w:drawing>
      </w:r>
    </w:p>
    <w:p w14:paraId="74CA5797" w14:textId="77777777" w:rsidR="004E6B93" w:rsidRDefault="004E6B93">
      <w:pPr>
        <w:jc w:val="center"/>
        <w:rPr>
          <w:sz w:val="18"/>
          <w:szCs w:val="18"/>
        </w:rPr>
      </w:pPr>
    </w:p>
    <w:p w14:paraId="118F2907" w14:textId="77777777" w:rsidR="004E6B93" w:rsidRDefault="0078359C">
      <w:pPr>
        <w:jc w:val="center"/>
        <w:rPr>
          <w:sz w:val="18"/>
          <w:szCs w:val="18"/>
        </w:rPr>
      </w:pPr>
      <w:r>
        <w:br w:type="page"/>
      </w:r>
    </w:p>
    <w:p w14:paraId="3C25BE0C" w14:textId="77777777" w:rsidR="004E6B93" w:rsidRDefault="0078359C">
      <w:pPr>
        <w:jc w:val="both"/>
      </w:pPr>
      <w:r>
        <w:lastRenderedPageBreak/>
        <w:t>To be able to examine the effect of using of TLT I prepared the same tables regarding percentile channels strategy with cash instead of TLT as well. As we can see from Tables 11e-f TLT had an overall positive effect on results (18% CAGR vs 14.4% with month</w:t>
      </w:r>
      <w:r>
        <w:t>ly rebalance; 1.09 SR vs 0.92 SR, MDD is the same). Especially using of TLT turned the negative result of 2008 into a positive one (although it also eroded the result of 2009). Please note again that until 2002-07-30 no TLT was used in this backtest (so th</w:t>
      </w:r>
      <w:r>
        <w:t>erefore the first 3 rows are coincidentals in Table 11e and 11f).</w:t>
      </w:r>
    </w:p>
    <w:p w14:paraId="0EF8974C" w14:textId="77777777" w:rsidR="004E6B93" w:rsidRDefault="0078359C">
      <w:pPr>
        <w:jc w:val="both"/>
      </w:pPr>
      <w:r>
        <w:t>Monthly breakdown of Table 11e can be found in Table 11g-h.</w:t>
      </w:r>
    </w:p>
    <w:p w14:paraId="71D0F647" w14:textId="77777777" w:rsidR="004E6B93" w:rsidRDefault="004E6B93">
      <w:pPr>
        <w:rPr>
          <w:sz w:val="18"/>
          <w:szCs w:val="18"/>
        </w:rPr>
      </w:pPr>
    </w:p>
    <w:p w14:paraId="7885006B" w14:textId="77777777" w:rsidR="004E6B93" w:rsidRDefault="0078359C">
      <w:pPr>
        <w:jc w:val="center"/>
        <w:rPr>
          <w:sz w:val="18"/>
          <w:szCs w:val="18"/>
        </w:rPr>
      </w:pPr>
      <w:r>
        <w:rPr>
          <w:sz w:val="18"/>
          <w:szCs w:val="18"/>
        </w:rPr>
        <w:t xml:space="preserve">Table 11e.  Performance indicators of percentile channels strategy with top QQQ stocks by different rebalance periods, </w:t>
      </w:r>
    </w:p>
    <w:p w14:paraId="216E082D" w14:textId="77777777" w:rsidR="004E6B93" w:rsidRDefault="0078359C">
      <w:pPr>
        <w:jc w:val="center"/>
      </w:pPr>
      <w:r>
        <w:rPr>
          <w:sz w:val="18"/>
          <w:szCs w:val="18"/>
        </w:rPr>
        <w:t>using cash instead of TLT</w:t>
      </w:r>
    </w:p>
    <w:p w14:paraId="153C7134" w14:textId="77777777" w:rsidR="004E6B93" w:rsidRDefault="0078359C">
      <w:r>
        <w:rPr>
          <w:noProof/>
        </w:rPr>
        <w:drawing>
          <wp:inline distT="114300" distB="114300" distL="114300" distR="114300" wp14:anchorId="4C074928" wp14:editId="4E8E57C0">
            <wp:extent cx="3245212" cy="3399315"/>
            <wp:effectExtent l="0" t="0" r="0" b="0"/>
            <wp:docPr id="4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7"/>
                    <a:srcRect/>
                    <a:stretch>
                      <a:fillRect/>
                    </a:stretch>
                  </pic:blipFill>
                  <pic:spPr>
                    <a:xfrm>
                      <a:off x="0" y="0"/>
                      <a:ext cx="3245212" cy="3399315"/>
                    </a:xfrm>
                    <a:prstGeom prst="rect">
                      <a:avLst/>
                    </a:prstGeom>
                    <a:ln/>
                  </pic:spPr>
                </pic:pic>
              </a:graphicData>
            </a:graphic>
          </wp:inline>
        </w:drawing>
      </w:r>
      <w:r>
        <w:rPr>
          <w:noProof/>
        </w:rPr>
        <w:drawing>
          <wp:inline distT="114300" distB="114300" distL="114300" distR="114300" wp14:anchorId="45C940E2" wp14:editId="54CAF9AA">
            <wp:extent cx="3243176" cy="3397613"/>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a:srcRect/>
                    <a:stretch>
                      <a:fillRect/>
                    </a:stretch>
                  </pic:blipFill>
                  <pic:spPr>
                    <a:xfrm>
                      <a:off x="0" y="0"/>
                      <a:ext cx="3243176" cy="3397613"/>
                    </a:xfrm>
                    <a:prstGeom prst="rect">
                      <a:avLst/>
                    </a:prstGeom>
                    <a:ln/>
                  </pic:spPr>
                </pic:pic>
              </a:graphicData>
            </a:graphic>
          </wp:inline>
        </w:drawing>
      </w:r>
    </w:p>
    <w:p w14:paraId="4ACF9CF9" w14:textId="77777777" w:rsidR="004E6B93" w:rsidRDefault="0078359C">
      <w:pPr>
        <w:jc w:val="center"/>
        <w:rPr>
          <w:sz w:val="18"/>
          <w:szCs w:val="18"/>
        </w:rPr>
      </w:pPr>
      <w:r>
        <w:rPr>
          <w:sz w:val="18"/>
          <w:szCs w:val="18"/>
        </w:rPr>
        <w:t>Table 11f = Table 11a.  Performance indicators of percentile channels strategy with top QQQ stocks by diffe</w:t>
      </w:r>
      <w:r>
        <w:rPr>
          <w:sz w:val="18"/>
          <w:szCs w:val="18"/>
        </w:rPr>
        <w:t xml:space="preserve">rent rebalance periods, </w:t>
      </w:r>
    </w:p>
    <w:p w14:paraId="19C5E86E" w14:textId="77777777" w:rsidR="004E6B93" w:rsidRDefault="0078359C">
      <w:pPr>
        <w:jc w:val="center"/>
      </w:pPr>
      <w:r>
        <w:rPr>
          <w:sz w:val="18"/>
          <w:szCs w:val="18"/>
        </w:rPr>
        <w:t>using TLT</w:t>
      </w:r>
    </w:p>
    <w:p w14:paraId="587293FC" w14:textId="77777777" w:rsidR="004E6B93" w:rsidRDefault="0078359C">
      <w:pPr>
        <w:jc w:val="both"/>
        <w:rPr>
          <w:sz w:val="18"/>
          <w:szCs w:val="18"/>
        </w:rPr>
      </w:pPr>
      <w:r>
        <w:rPr>
          <w:noProof/>
        </w:rPr>
        <w:drawing>
          <wp:inline distT="114300" distB="114300" distL="114300" distR="114300" wp14:anchorId="09D8C740" wp14:editId="5C60A995">
            <wp:extent cx="3311953" cy="3460387"/>
            <wp:effectExtent l="0" t="0" r="0" b="0"/>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srcRect/>
                    <a:stretch>
                      <a:fillRect/>
                    </a:stretch>
                  </pic:blipFill>
                  <pic:spPr>
                    <a:xfrm>
                      <a:off x="0" y="0"/>
                      <a:ext cx="3311953" cy="3460387"/>
                    </a:xfrm>
                    <a:prstGeom prst="rect">
                      <a:avLst/>
                    </a:prstGeom>
                    <a:ln/>
                  </pic:spPr>
                </pic:pic>
              </a:graphicData>
            </a:graphic>
          </wp:inline>
        </w:drawing>
      </w:r>
      <w:r>
        <w:rPr>
          <w:noProof/>
        </w:rPr>
        <w:drawing>
          <wp:inline distT="114300" distB="114300" distL="114300" distR="114300" wp14:anchorId="03568FFA" wp14:editId="2ADE0AF1">
            <wp:extent cx="3284072" cy="3441337"/>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3284072" cy="3441337"/>
                    </a:xfrm>
                    <a:prstGeom prst="rect">
                      <a:avLst/>
                    </a:prstGeom>
                    <a:ln/>
                  </pic:spPr>
                </pic:pic>
              </a:graphicData>
            </a:graphic>
          </wp:inline>
        </w:drawing>
      </w:r>
      <w:r>
        <w:br w:type="page"/>
      </w:r>
    </w:p>
    <w:p w14:paraId="3EA40416" w14:textId="77777777" w:rsidR="004E6B93" w:rsidRDefault="0078359C">
      <w:pPr>
        <w:jc w:val="center"/>
      </w:pPr>
      <w:r>
        <w:rPr>
          <w:sz w:val="18"/>
          <w:szCs w:val="18"/>
        </w:rPr>
        <w:lastRenderedPageBreak/>
        <w:t>Table 11g.  Monthly %change and MDD of percentile channels strategy with top QQQ stocks, monthly rebalance,</w:t>
      </w:r>
      <w:r>
        <w:rPr>
          <w:sz w:val="18"/>
          <w:szCs w:val="18"/>
        </w:rPr>
        <w:br/>
        <w:t>using cash instead of TLT</w:t>
      </w:r>
    </w:p>
    <w:p w14:paraId="353D9C28" w14:textId="77777777" w:rsidR="004E6B93" w:rsidRDefault="0078359C">
      <w:r>
        <w:rPr>
          <w:noProof/>
        </w:rPr>
        <w:drawing>
          <wp:inline distT="114300" distB="114300" distL="114300" distR="114300" wp14:anchorId="23567DF8" wp14:editId="482B5255">
            <wp:extent cx="7052400" cy="6718300"/>
            <wp:effectExtent l="0" t="0" r="0" b="0"/>
            <wp:docPr id="1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9"/>
                    <a:srcRect/>
                    <a:stretch>
                      <a:fillRect/>
                    </a:stretch>
                  </pic:blipFill>
                  <pic:spPr>
                    <a:xfrm>
                      <a:off x="0" y="0"/>
                      <a:ext cx="7052400" cy="6718300"/>
                    </a:xfrm>
                    <a:prstGeom prst="rect">
                      <a:avLst/>
                    </a:prstGeom>
                    <a:ln/>
                  </pic:spPr>
                </pic:pic>
              </a:graphicData>
            </a:graphic>
          </wp:inline>
        </w:drawing>
      </w:r>
    </w:p>
    <w:p w14:paraId="179C6E0B" w14:textId="77777777" w:rsidR="004E6B93" w:rsidRDefault="004E6B93"/>
    <w:p w14:paraId="673668B8" w14:textId="77777777" w:rsidR="004E6B93" w:rsidRDefault="0078359C">
      <w:pPr>
        <w:jc w:val="center"/>
        <w:rPr>
          <w:sz w:val="18"/>
          <w:szCs w:val="18"/>
        </w:rPr>
      </w:pPr>
      <w:r>
        <w:br w:type="page"/>
      </w:r>
    </w:p>
    <w:p w14:paraId="2D5C5B0C" w14:textId="77777777" w:rsidR="004E6B93" w:rsidRDefault="0078359C">
      <w:pPr>
        <w:jc w:val="center"/>
      </w:pPr>
      <w:r>
        <w:rPr>
          <w:sz w:val="18"/>
          <w:szCs w:val="18"/>
        </w:rPr>
        <w:lastRenderedPageBreak/>
        <w:t>Table 11h.  Monthly %change and MDD of percentile channels strategy with top Q</w:t>
      </w:r>
      <w:r>
        <w:rPr>
          <w:sz w:val="18"/>
          <w:szCs w:val="18"/>
        </w:rPr>
        <w:t>QQ stocks, weekly rebalance,</w:t>
      </w:r>
      <w:r>
        <w:rPr>
          <w:sz w:val="18"/>
          <w:szCs w:val="18"/>
        </w:rPr>
        <w:br/>
        <w:t>using cash instead of TLT</w:t>
      </w:r>
    </w:p>
    <w:p w14:paraId="4B1DAD08" w14:textId="77777777" w:rsidR="004E6B93" w:rsidRDefault="0078359C">
      <w:r>
        <w:rPr>
          <w:noProof/>
        </w:rPr>
        <w:drawing>
          <wp:inline distT="114300" distB="114300" distL="114300" distR="114300" wp14:anchorId="41026C68" wp14:editId="1505B058">
            <wp:extent cx="7052400" cy="67183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7052400" cy="6718300"/>
                    </a:xfrm>
                    <a:prstGeom prst="rect">
                      <a:avLst/>
                    </a:prstGeom>
                    <a:ln/>
                  </pic:spPr>
                </pic:pic>
              </a:graphicData>
            </a:graphic>
          </wp:inline>
        </w:drawing>
      </w:r>
    </w:p>
    <w:p w14:paraId="4C83E54C" w14:textId="77777777" w:rsidR="004E6B93" w:rsidRDefault="004E6B93"/>
    <w:p w14:paraId="7B0062D5" w14:textId="77777777" w:rsidR="004E6B93" w:rsidRDefault="0078359C">
      <w:r>
        <w:br/>
      </w:r>
      <w:r>
        <w:br w:type="page"/>
      </w:r>
    </w:p>
    <w:p w14:paraId="58DC777E" w14:textId="77777777" w:rsidR="004E6B93" w:rsidRDefault="004E6B93"/>
    <w:p w14:paraId="1CE10F31" w14:textId="77777777" w:rsidR="004E6B93" w:rsidRDefault="0078359C">
      <w:r>
        <w:t>For a comparison reason let see the same table for QQQ itself (which exists from March 1999):</w:t>
      </w:r>
    </w:p>
    <w:p w14:paraId="01108C4B" w14:textId="77777777" w:rsidR="004E6B93" w:rsidRDefault="004E6B93"/>
    <w:p w14:paraId="72E2C347" w14:textId="77777777" w:rsidR="004E6B93" w:rsidRDefault="0078359C">
      <w:pPr>
        <w:jc w:val="center"/>
      </w:pPr>
      <w:r>
        <w:rPr>
          <w:sz w:val="18"/>
          <w:szCs w:val="18"/>
        </w:rPr>
        <w:t xml:space="preserve">Table 11i.  Monthly %change and MDD of simple buy and hold QQQ strategy </w:t>
      </w:r>
    </w:p>
    <w:p w14:paraId="006A772E" w14:textId="77777777" w:rsidR="004E6B93" w:rsidRDefault="0078359C">
      <w:r>
        <w:rPr>
          <w:noProof/>
        </w:rPr>
        <w:drawing>
          <wp:inline distT="114300" distB="114300" distL="114300" distR="114300" wp14:anchorId="164ADC4A" wp14:editId="50F1BED3">
            <wp:extent cx="7052400" cy="64770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7052400" cy="6477000"/>
                    </a:xfrm>
                    <a:prstGeom prst="rect">
                      <a:avLst/>
                    </a:prstGeom>
                    <a:ln/>
                  </pic:spPr>
                </pic:pic>
              </a:graphicData>
            </a:graphic>
          </wp:inline>
        </w:drawing>
      </w:r>
    </w:p>
    <w:p w14:paraId="0F6ACC72" w14:textId="77777777" w:rsidR="004E6B93" w:rsidRDefault="004E6B93"/>
    <w:p w14:paraId="0F31F5C1" w14:textId="77777777" w:rsidR="004E6B93" w:rsidRDefault="004E6B93">
      <w:pPr>
        <w:jc w:val="both"/>
      </w:pPr>
    </w:p>
    <w:p w14:paraId="0AAD9EE8" w14:textId="77777777" w:rsidR="004E6B93" w:rsidRDefault="0078359C">
      <w:pPr>
        <w:pStyle w:val="Heading2"/>
        <w:jc w:val="both"/>
        <w:rPr>
          <w:color w:val="CC0000"/>
        </w:rPr>
      </w:pPr>
      <w:bookmarkStart w:id="17" w:name="_ffe5vnt3jej" w:colFirst="0" w:colLast="0"/>
      <w:bookmarkEnd w:id="17"/>
      <w:r>
        <w:br w:type="page"/>
      </w:r>
    </w:p>
    <w:p w14:paraId="41B5E570" w14:textId="77777777" w:rsidR="004E6B93" w:rsidRDefault="0078359C">
      <w:pPr>
        <w:pStyle w:val="Heading2"/>
        <w:jc w:val="both"/>
        <w:rPr>
          <w:color w:val="CC0000"/>
        </w:rPr>
      </w:pPr>
      <w:bookmarkStart w:id="18" w:name="_dzr0js7ukvvm" w:colFirst="0" w:colLast="0"/>
      <w:bookmarkEnd w:id="18"/>
      <w:r>
        <w:rPr>
          <w:color w:val="CC0000"/>
        </w:rPr>
        <w:lastRenderedPageBreak/>
        <w:t>Percentile channel s</w:t>
      </w:r>
      <w:r>
        <w:rPr>
          <w:color w:val="CC0000"/>
        </w:rPr>
        <w:t>trategy with different entry and exit signs</w:t>
      </w:r>
    </w:p>
    <w:p w14:paraId="7A2FCFE4" w14:textId="77777777" w:rsidR="004E6B93" w:rsidRDefault="004E6B93"/>
    <w:p w14:paraId="17474A07" w14:textId="77777777" w:rsidR="004E6B93" w:rsidRDefault="0078359C">
      <w:pPr>
        <w:jc w:val="both"/>
      </w:pPr>
      <w:r>
        <w:t>One may think that why we buy at 75th percentile and sell at 25th percentile because it also would be a rational thought that we enter at 25th (or maybe at 50th) percentile (i.e. when the stock starts to arise so we can catch the rally very early) and exit</w:t>
      </w:r>
      <w:r>
        <w:t xml:space="preserve"> when it starts to weaken (for example when it falls under the 75th percentile for the first time - in practice it means that we sell immediately if it falls under 25th percentile immediately).</w:t>
      </w:r>
    </w:p>
    <w:p w14:paraId="24EFAD1C" w14:textId="77777777" w:rsidR="004E6B93" w:rsidRDefault="004E6B93"/>
    <w:p w14:paraId="19D0D85A" w14:textId="77777777" w:rsidR="004E6B93" w:rsidRDefault="0078359C">
      <w:r>
        <w:t>Let’s the results for such a strategy with our current GameCh</w:t>
      </w:r>
      <w:r>
        <w:t>angers. The exact rules would be the following:</w:t>
      </w:r>
    </w:p>
    <w:p w14:paraId="7C08AB9D" w14:textId="77777777" w:rsidR="004E6B93" w:rsidRDefault="004E6B93"/>
    <w:p w14:paraId="73ACABB4" w14:textId="77777777" w:rsidR="004E6B93" w:rsidRDefault="0078359C">
      <w:pPr>
        <w:jc w:val="both"/>
        <w:rPr>
          <w:i/>
          <w:color w:val="0000FF"/>
          <w:sz w:val="20"/>
          <w:szCs w:val="20"/>
        </w:rPr>
      </w:pPr>
      <w:r>
        <w:rPr>
          <w:i/>
          <w:color w:val="0000FF"/>
          <w:sz w:val="20"/>
          <w:szCs w:val="20"/>
        </w:rPr>
        <w:t xml:space="preserve">“For every </w:t>
      </w:r>
      <w:proofErr w:type="gramStart"/>
      <w:r>
        <w:rPr>
          <w:i/>
          <w:color w:val="0000FF"/>
          <w:sz w:val="20"/>
          <w:szCs w:val="20"/>
        </w:rPr>
        <w:t>stocks</w:t>
      </w:r>
      <w:proofErr w:type="gramEnd"/>
      <w:r>
        <w:rPr>
          <w:i/>
          <w:color w:val="0000FF"/>
          <w:sz w:val="20"/>
          <w:szCs w:val="20"/>
        </w:rPr>
        <w:t>, calculate the 60-, 120-, 180- and 252-day (these are trading days) percentile channel with 25% threshold every day. For example, 120-day percentile channel with 25% threshold is the follow</w:t>
      </w:r>
      <w:r>
        <w:rPr>
          <w:i/>
          <w:color w:val="0000FF"/>
          <w:sz w:val="20"/>
          <w:szCs w:val="20"/>
        </w:rPr>
        <w:t>ing: calculate the 25</w:t>
      </w:r>
      <w:proofErr w:type="gramStart"/>
      <w:r>
        <w:rPr>
          <w:i/>
          <w:color w:val="0000FF"/>
          <w:sz w:val="20"/>
          <w:szCs w:val="20"/>
          <w:vertAlign w:val="superscript"/>
        </w:rPr>
        <w:t>th</w:t>
      </w:r>
      <w:r>
        <w:rPr>
          <w:i/>
          <w:color w:val="0000FF"/>
          <w:sz w:val="20"/>
          <w:szCs w:val="20"/>
        </w:rPr>
        <w:t xml:space="preserve"> ,</w:t>
      </w:r>
      <w:proofErr w:type="gramEnd"/>
      <w:r>
        <w:rPr>
          <w:i/>
          <w:color w:val="0000FF"/>
          <w:sz w:val="20"/>
          <w:szCs w:val="20"/>
        </w:rPr>
        <w:t xml:space="preserve"> </w:t>
      </w:r>
      <w:r>
        <w:rPr>
          <w:b/>
          <w:i/>
          <w:color w:val="CC0000"/>
          <w:sz w:val="20"/>
          <w:szCs w:val="20"/>
        </w:rPr>
        <w:t>50</w:t>
      </w:r>
      <w:r>
        <w:rPr>
          <w:b/>
          <w:i/>
          <w:color w:val="CC0000"/>
          <w:sz w:val="20"/>
          <w:szCs w:val="20"/>
          <w:vertAlign w:val="superscript"/>
        </w:rPr>
        <w:t>th</w:t>
      </w:r>
      <w:r>
        <w:rPr>
          <w:i/>
          <w:color w:val="0000FF"/>
          <w:sz w:val="20"/>
          <w:szCs w:val="20"/>
          <w:vertAlign w:val="superscript"/>
        </w:rPr>
        <w:t xml:space="preserve"> </w:t>
      </w:r>
      <w:r>
        <w:rPr>
          <w:i/>
          <w:color w:val="0000FF"/>
          <w:sz w:val="20"/>
          <w:szCs w:val="20"/>
        </w:rPr>
        <w:t>and 75</w:t>
      </w:r>
      <w:r>
        <w:rPr>
          <w:i/>
          <w:color w:val="0000FF"/>
          <w:sz w:val="20"/>
          <w:szCs w:val="20"/>
          <w:vertAlign w:val="superscript"/>
        </w:rPr>
        <w:t>th</w:t>
      </w:r>
      <w:r>
        <w:rPr>
          <w:i/>
          <w:color w:val="0000FF"/>
          <w:sz w:val="20"/>
          <w:szCs w:val="20"/>
        </w:rPr>
        <w:t xml:space="preserve"> percentile of the close prices in the last 120 days. The former will be the lower threshold, </w:t>
      </w:r>
      <w:r>
        <w:rPr>
          <w:b/>
          <w:i/>
          <w:color w:val="CC0000"/>
          <w:sz w:val="20"/>
          <w:szCs w:val="20"/>
        </w:rPr>
        <w:t>the middle one will be the middle threshold</w:t>
      </w:r>
      <w:r>
        <w:rPr>
          <w:i/>
          <w:color w:val="0000FF"/>
          <w:sz w:val="20"/>
          <w:szCs w:val="20"/>
        </w:rPr>
        <w:t xml:space="preserve">, while latter the upper threshold. If the daily close price of the given stock </w:t>
      </w:r>
      <w:r>
        <w:rPr>
          <w:i/>
          <w:color w:val="0000FF"/>
          <w:sz w:val="20"/>
          <w:szCs w:val="20"/>
        </w:rPr>
        <w:t xml:space="preserve">on Day T is higher (or equal) than the </w:t>
      </w:r>
      <w:r>
        <w:rPr>
          <w:b/>
          <w:i/>
          <w:color w:val="CC0000"/>
          <w:sz w:val="20"/>
          <w:szCs w:val="20"/>
        </w:rPr>
        <w:t>lower</w:t>
      </w:r>
      <w:r>
        <w:rPr>
          <w:i/>
          <w:color w:val="0000FF"/>
          <w:sz w:val="20"/>
          <w:szCs w:val="20"/>
        </w:rPr>
        <w:t xml:space="preserve"> </w:t>
      </w:r>
      <w:r>
        <w:rPr>
          <w:b/>
          <w:i/>
          <w:color w:val="CC0000"/>
          <w:sz w:val="20"/>
          <w:szCs w:val="20"/>
        </w:rPr>
        <w:t>(or middle)</w:t>
      </w:r>
      <w:r>
        <w:rPr>
          <w:i/>
          <w:color w:val="0000FF"/>
          <w:sz w:val="20"/>
          <w:szCs w:val="20"/>
        </w:rPr>
        <w:t xml:space="preserve"> threshold (</w:t>
      </w:r>
      <w:r>
        <w:rPr>
          <w:b/>
          <w:i/>
          <w:color w:val="CC0000"/>
          <w:sz w:val="20"/>
          <w:szCs w:val="20"/>
        </w:rPr>
        <w:t>25</w:t>
      </w:r>
      <w:r>
        <w:rPr>
          <w:b/>
          <w:i/>
          <w:color w:val="CC0000"/>
          <w:sz w:val="20"/>
          <w:szCs w:val="20"/>
          <w:vertAlign w:val="superscript"/>
        </w:rPr>
        <w:t>th</w:t>
      </w:r>
      <w:r>
        <w:rPr>
          <w:i/>
          <w:color w:val="0000FF"/>
          <w:sz w:val="20"/>
          <w:szCs w:val="20"/>
        </w:rPr>
        <w:t xml:space="preserve"> </w:t>
      </w:r>
      <w:r>
        <w:rPr>
          <w:b/>
          <w:i/>
          <w:color w:val="CC0000"/>
          <w:sz w:val="20"/>
          <w:szCs w:val="20"/>
        </w:rPr>
        <w:t>(or 50</w:t>
      </w:r>
      <w:r>
        <w:rPr>
          <w:b/>
          <w:i/>
          <w:color w:val="CC0000"/>
          <w:sz w:val="20"/>
          <w:szCs w:val="20"/>
          <w:vertAlign w:val="superscript"/>
        </w:rPr>
        <w:t>th</w:t>
      </w:r>
      <w:r>
        <w:rPr>
          <w:b/>
          <w:i/>
          <w:color w:val="CC0000"/>
          <w:sz w:val="20"/>
          <w:szCs w:val="20"/>
        </w:rPr>
        <w:t>)</w:t>
      </w:r>
      <w:r>
        <w:rPr>
          <w:i/>
          <w:color w:val="0000FF"/>
          <w:sz w:val="20"/>
          <w:szCs w:val="20"/>
        </w:rPr>
        <w:t xml:space="preserve"> percentile of T-119,…,T close prices) </w:t>
      </w:r>
      <w:r>
        <w:rPr>
          <w:b/>
          <w:i/>
          <w:color w:val="CC0000"/>
          <w:sz w:val="20"/>
          <w:szCs w:val="20"/>
        </w:rPr>
        <w:t>while it was lower than the respective (lower or middle) threshold on the previous day</w:t>
      </w:r>
      <w:r>
        <w:rPr>
          <w:i/>
          <w:color w:val="0000FF"/>
          <w:sz w:val="20"/>
          <w:szCs w:val="20"/>
        </w:rPr>
        <w:t xml:space="preserve">, the signal of the 120-day percentile channel is +1. If lower (or equal) than the </w:t>
      </w:r>
      <w:r>
        <w:rPr>
          <w:b/>
          <w:i/>
          <w:color w:val="CC0000"/>
          <w:sz w:val="20"/>
          <w:szCs w:val="20"/>
        </w:rPr>
        <w:t>higher (or middle)</w:t>
      </w:r>
      <w:r>
        <w:rPr>
          <w:i/>
          <w:color w:val="0000FF"/>
          <w:sz w:val="20"/>
          <w:szCs w:val="20"/>
        </w:rPr>
        <w:t xml:space="preserve"> threshold </w:t>
      </w:r>
      <w:r>
        <w:rPr>
          <w:b/>
          <w:i/>
          <w:color w:val="CC0000"/>
          <w:sz w:val="20"/>
          <w:szCs w:val="20"/>
        </w:rPr>
        <w:t>while it was higher than the respective (higher or middle)</w:t>
      </w:r>
      <w:r>
        <w:rPr>
          <w:b/>
          <w:i/>
          <w:color w:val="CC0000"/>
          <w:sz w:val="20"/>
          <w:szCs w:val="20"/>
        </w:rPr>
        <w:t xml:space="preserve"> threshold on the previous day</w:t>
      </w:r>
      <w:r>
        <w:rPr>
          <w:i/>
          <w:color w:val="0000FF"/>
          <w:sz w:val="20"/>
          <w:szCs w:val="20"/>
        </w:rPr>
        <w:t xml:space="preserve">, the signal is -1. Otherwise, the signal of Day T is the same as on Day T-1. Every stock </w:t>
      </w:r>
      <w:proofErr w:type="gramStart"/>
      <w:r>
        <w:rPr>
          <w:i/>
          <w:color w:val="0000FF"/>
          <w:sz w:val="20"/>
          <w:szCs w:val="20"/>
        </w:rPr>
        <w:t>have</w:t>
      </w:r>
      <w:proofErr w:type="gramEnd"/>
      <w:r>
        <w:rPr>
          <w:i/>
          <w:color w:val="0000FF"/>
          <w:sz w:val="20"/>
          <w:szCs w:val="20"/>
        </w:rPr>
        <w:t xml:space="preserve"> 4 channels with different look-back periods, thus we get 4 signal (-1 or +1) every day for every stocks.”</w:t>
      </w:r>
    </w:p>
    <w:p w14:paraId="42441A64" w14:textId="77777777" w:rsidR="004E6B93" w:rsidRDefault="004E6B93">
      <w:pPr>
        <w:jc w:val="both"/>
        <w:rPr>
          <w:i/>
          <w:color w:val="0000FF"/>
          <w:sz w:val="20"/>
          <w:szCs w:val="20"/>
        </w:rPr>
      </w:pPr>
    </w:p>
    <w:p w14:paraId="49B54DDD" w14:textId="77777777" w:rsidR="004E6B93" w:rsidRDefault="0078359C">
      <w:pPr>
        <w:jc w:val="both"/>
      </w:pPr>
      <w:r>
        <w:t>In practice it means tha</w:t>
      </w:r>
      <w:r>
        <w:t>t the first time the price of a given stock on Day T exceeds the lower or middle threshold then the signal changes for +1 and the first time the price of a given stock on Day T falls under the higher or middle threshold then the signal changes for -1 (so w</w:t>
      </w:r>
      <w:r>
        <w:t>e have 2 entry- and 2 exit-signals).</w:t>
      </w:r>
    </w:p>
    <w:p w14:paraId="4B78E177" w14:textId="77777777" w:rsidR="004E6B93" w:rsidRDefault="004E6B93">
      <w:pPr>
        <w:jc w:val="both"/>
      </w:pPr>
    </w:p>
    <w:p w14:paraId="776E6553" w14:textId="77777777" w:rsidR="004E6B93" w:rsidRDefault="0078359C">
      <w:pPr>
        <w:jc w:val="both"/>
      </w:pPr>
      <w:r>
        <w:t>For a better understanding let’s see the next (real life) example of AMZN (for the period March-July 2018):</w:t>
      </w:r>
    </w:p>
    <w:p w14:paraId="61320BD9" w14:textId="77777777" w:rsidR="004E6B93" w:rsidRDefault="004E6B93">
      <w:pPr>
        <w:jc w:val="both"/>
      </w:pPr>
    </w:p>
    <w:p w14:paraId="57FD76D9" w14:textId="77777777" w:rsidR="004E6B93" w:rsidRDefault="0078359C">
      <w:pPr>
        <w:jc w:val="center"/>
        <w:rPr>
          <w:sz w:val="18"/>
          <w:szCs w:val="18"/>
        </w:rPr>
      </w:pPr>
      <w:r>
        <w:rPr>
          <w:sz w:val="18"/>
          <w:szCs w:val="18"/>
        </w:rPr>
        <w:t>Chart 12. Signals, price and percentile channels for AMZN in a modified percentile channels strategy</w:t>
      </w:r>
    </w:p>
    <w:p w14:paraId="31C535B4" w14:textId="77777777" w:rsidR="004E6B93" w:rsidRDefault="0078359C">
      <w:pPr>
        <w:jc w:val="center"/>
      </w:pPr>
      <w:r>
        <w:rPr>
          <w:noProof/>
        </w:rPr>
        <w:drawing>
          <wp:inline distT="114300" distB="114300" distL="114300" distR="114300" wp14:anchorId="65328A7A" wp14:editId="5EF764C0">
            <wp:extent cx="5491163" cy="3984966"/>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5491163" cy="3984966"/>
                    </a:xfrm>
                    <a:prstGeom prst="rect">
                      <a:avLst/>
                    </a:prstGeom>
                    <a:ln/>
                  </pic:spPr>
                </pic:pic>
              </a:graphicData>
            </a:graphic>
          </wp:inline>
        </w:drawing>
      </w:r>
    </w:p>
    <w:p w14:paraId="75AA102E" w14:textId="77777777" w:rsidR="004E6B93" w:rsidRDefault="004E6B93"/>
    <w:p w14:paraId="183BB417" w14:textId="77777777" w:rsidR="004E6B93" w:rsidRDefault="0078359C">
      <w:pPr>
        <w:jc w:val="both"/>
      </w:pPr>
      <w:r>
        <w:lastRenderedPageBreak/>
        <w:t>Whate</w:t>
      </w:r>
      <w:r>
        <w:t>ver was the signal (marked with red and green bars in the chart) before 2018-03-23 (actually it was already negative) it turned to negative on that day because close price (light blue line) went below the (yellow) 75th percentile line.</w:t>
      </w:r>
    </w:p>
    <w:p w14:paraId="4578A81A" w14:textId="77777777" w:rsidR="004E6B93" w:rsidRDefault="0078359C">
      <w:pPr>
        <w:jc w:val="both"/>
      </w:pPr>
      <w:r>
        <w:t>3 days later it cros</w:t>
      </w:r>
      <w:r>
        <w:t>sed the (green) 50th percentile line from below therefore the signal turned to positive but immediately turned to negative again because the price went under the yellow line again.</w:t>
      </w:r>
    </w:p>
    <w:p w14:paraId="40D5CDCE" w14:textId="77777777" w:rsidR="004E6B93" w:rsidRDefault="0078359C">
      <w:pPr>
        <w:jc w:val="both"/>
      </w:pPr>
      <w:r>
        <w:t>On 2018-04-05 it turned to positive again when crossed the (dark blue) 25th</w:t>
      </w:r>
      <w:r>
        <w:t xml:space="preserve"> percentile line from below etc.</w:t>
      </w:r>
    </w:p>
    <w:p w14:paraId="654521F0" w14:textId="77777777" w:rsidR="004E6B93" w:rsidRDefault="004E6B93">
      <w:pPr>
        <w:jc w:val="center"/>
        <w:rPr>
          <w:sz w:val="18"/>
          <w:szCs w:val="18"/>
        </w:rPr>
      </w:pPr>
    </w:p>
    <w:p w14:paraId="2833E6AE" w14:textId="77777777" w:rsidR="004E6B93" w:rsidRDefault="0078359C">
      <w:pPr>
        <w:jc w:val="center"/>
      </w:pPr>
      <w:r>
        <w:rPr>
          <w:sz w:val="18"/>
          <w:szCs w:val="18"/>
        </w:rPr>
        <w:t>Table 13a-d. Performance indicators of “reverse” percentile channels strategy with GameChangers by different rebalance periods</w:t>
      </w:r>
    </w:p>
    <w:p w14:paraId="6A2569AA" w14:textId="77777777" w:rsidR="004E6B93" w:rsidRDefault="0078359C">
      <w:pPr>
        <w:jc w:val="both"/>
      </w:pPr>
      <w:r>
        <w:rPr>
          <w:noProof/>
        </w:rPr>
        <w:drawing>
          <wp:inline distT="114300" distB="114300" distL="114300" distR="114300" wp14:anchorId="53E1124F" wp14:editId="7C884480">
            <wp:extent cx="3464287" cy="306124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3464287" cy="3061240"/>
                    </a:xfrm>
                    <a:prstGeom prst="rect">
                      <a:avLst/>
                    </a:prstGeom>
                    <a:ln/>
                  </pic:spPr>
                </pic:pic>
              </a:graphicData>
            </a:graphic>
          </wp:inline>
        </w:drawing>
      </w:r>
      <w:r>
        <w:rPr>
          <w:noProof/>
        </w:rPr>
        <w:drawing>
          <wp:inline distT="114300" distB="114300" distL="114300" distR="114300" wp14:anchorId="12B8E09B" wp14:editId="598D68C2">
            <wp:extent cx="3469236" cy="3064238"/>
            <wp:effectExtent l="0" t="0" r="0" b="0"/>
            <wp:docPr id="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4"/>
                    <a:srcRect/>
                    <a:stretch>
                      <a:fillRect/>
                    </a:stretch>
                  </pic:blipFill>
                  <pic:spPr>
                    <a:xfrm>
                      <a:off x="0" y="0"/>
                      <a:ext cx="3469236" cy="3064238"/>
                    </a:xfrm>
                    <a:prstGeom prst="rect">
                      <a:avLst/>
                    </a:prstGeom>
                    <a:ln/>
                  </pic:spPr>
                </pic:pic>
              </a:graphicData>
            </a:graphic>
          </wp:inline>
        </w:drawing>
      </w:r>
      <w:r>
        <w:rPr>
          <w:noProof/>
        </w:rPr>
        <w:drawing>
          <wp:inline distT="114300" distB="114300" distL="114300" distR="114300" wp14:anchorId="20F8BB23" wp14:editId="012FED55">
            <wp:extent cx="3448801" cy="3060337"/>
            <wp:effectExtent l="0" t="0" r="0" b="0"/>
            <wp:docPr id="5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5"/>
                    <a:srcRect/>
                    <a:stretch>
                      <a:fillRect/>
                    </a:stretch>
                  </pic:blipFill>
                  <pic:spPr>
                    <a:xfrm>
                      <a:off x="0" y="0"/>
                      <a:ext cx="3448801" cy="3060337"/>
                    </a:xfrm>
                    <a:prstGeom prst="rect">
                      <a:avLst/>
                    </a:prstGeom>
                    <a:ln/>
                  </pic:spPr>
                </pic:pic>
              </a:graphicData>
            </a:graphic>
          </wp:inline>
        </w:drawing>
      </w:r>
      <w:r>
        <w:rPr>
          <w:noProof/>
        </w:rPr>
        <w:drawing>
          <wp:inline distT="114300" distB="114300" distL="114300" distR="114300" wp14:anchorId="26B09186" wp14:editId="5ECB8BA2">
            <wp:extent cx="3490913" cy="2905949"/>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490913" cy="2905949"/>
                    </a:xfrm>
                    <a:prstGeom prst="rect">
                      <a:avLst/>
                    </a:prstGeom>
                    <a:ln/>
                  </pic:spPr>
                </pic:pic>
              </a:graphicData>
            </a:graphic>
          </wp:inline>
        </w:drawing>
      </w:r>
    </w:p>
    <w:p w14:paraId="38539166" w14:textId="77777777" w:rsidR="004E6B93" w:rsidRDefault="004E6B93">
      <w:pPr>
        <w:jc w:val="both"/>
      </w:pPr>
    </w:p>
    <w:p w14:paraId="78FDCC72" w14:textId="77777777" w:rsidR="004E6B93" w:rsidRDefault="0078359C">
      <w:pPr>
        <w:jc w:val="both"/>
      </w:pPr>
      <w:r>
        <w:rPr>
          <w:b/>
        </w:rPr>
        <w:t>Results are not as attractive as we might thought in advance</w:t>
      </w:r>
      <w:r>
        <w:t xml:space="preserve">: CAGR is just 12-14% and SR </w:t>
      </w:r>
      <w:r>
        <w:t xml:space="preserve">is only 0.92-1.11. </w:t>
      </w:r>
      <w:proofErr w:type="gramStart"/>
      <w:r>
        <w:t>Actually</w:t>
      </w:r>
      <w:proofErr w:type="gramEnd"/>
      <w:r>
        <w:t xml:space="preserve"> if we skip the 50th percentile rule and use only 25th and 75th percentiles as thresholds (but with still the above described “reverse” rules) then the results would be even worse: 12.3% CAGR, 0.76 SR and 47% MDD.</w:t>
      </w:r>
    </w:p>
    <w:p w14:paraId="3B991BD0" w14:textId="77777777" w:rsidR="004E6B93" w:rsidRDefault="004E6B93">
      <w:pPr>
        <w:jc w:val="both"/>
      </w:pPr>
    </w:p>
    <w:p w14:paraId="7BCCD1B3" w14:textId="77777777" w:rsidR="004E6B93" w:rsidRDefault="0078359C">
      <w:pPr>
        <w:jc w:val="both"/>
      </w:pPr>
      <w:r>
        <w:t>It’s maybe int</w:t>
      </w:r>
      <w:r>
        <w:t xml:space="preserve">eresting that daily rebalanced results in long term are so similar to the weekly ones. Although daily rebalance was not interpreted at “normal” percentile channels strategy the situation was similar there: CAGR was </w:t>
      </w:r>
      <w:r>
        <w:lastRenderedPageBreak/>
        <w:t>31.6% (weekly) vs 31.3% (daily), SR was 1</w:t>
      </w:r>
      <w:r>
        <w:t>.59 (w) vs 1.58 (d) and MDD was 21.6% (w) vs 25.5% (d) (for monthly results see Table 13d above (which is the same as Table 3a)).</w:t>
      </w:r>
    </w:p>
    <w:p w14:paraId="7B95C9BE" w14:textId="77777777" w:rsidR="004E6B93" w:rsidRDefault="0078359C">
      <w:pPr>
        <w:pStyle w:val="Heading2"/>
        <w:jc w:val="both"/>
      </w:pPr>
      <w:bookmarkStart w:id="19" w:name="_qf494zrb39e6" w:colFirst="0" w:colLast="0"/>
      <w:bookmarkEnd w:id="19"/>
      <w:r>
        <w:rPr>
          <w:color w:val="CC0000"/>
        </w:rPr>
        <w:t>Percentile channels with random stocks</w:t>
      </w:r>
    </w:p>
    <w:p w14:paraId="3C6978D5" w14:textId="77777777" w:rsidR="004E6B93" w:rsidRDefault="004E6B93">
      <w:pPr>
        <w:jc w:val="both"/>
      </w:pPr>
    </w:p>
    <w:p w14:paraId="354D5221" w14:textId="77777777" w:rsidR="004E6B93" w:rsidRDefault="0078359C">
      <w:pPr>
        <w:jc w:val="both"/>
      </w:pPr>
      <w:r>
        <w:t>Above we saw (both with GameChanger and N100 stocks) that although CAGR can be (slight</w:t>
      </w:r>
      <w:r>
        <w:t xml:space="preserve">ly) higher with equal weight strategy - Sharpe Ratio and MDD are still better with (original) Percentile channels strategy. </w:t>
      </w:r>
      <w:r>
        <w:rPr>
          <w:b/>
        </w:rPr>
        <w:t>One may say that this is true only for blue chips</w:t>
      </w:r>
      <w:r>
        <w:t xml:space="preserve">. To test </w:t>
      </w:r>
      <w:proofErr w:type="gramStart"/>
      <w:r>
        <w:t>this</w:t>
      </w:r>
      <w:proofErr w:type="gramEnd"/>
      <w:r>
        <w:t xml:space="preserve"> I created </w:t>
      </w:r>
      <w:r>
        <w:rPr>
          <w:b/>
        </w:rPr>
        <w:t>208 random groups of stocks</w:t>
      </w:r>
      <w:r>
        <w:t xml:space="preserve"> from our database - 13 stocks </w:t>
      </w:r>
      <w:r>
        <w:t>within each group. These 2,704 stocks all were in-force during 2003-2018 (a possible extension of this test could be the same calculation with dying stocks too). I calculated for all 208 groups the main performance indicators as above for both strategies.</w:t>
      </w:r>
    </w:p>
    <w:p w14:paraId="72549227" w14:textId="77777777" w:rsidR="004E6B93" w:rsidRDefault="004E6B93">
      <w:pPr>
        <w:jc w:val="both"/>
      </w:pPr>
    </w:p>
    <w:p w14:paraId="3177DE07" w14:textId="77777777" w:rsidR="004E6B93" w:rsidRDefault="0078359C">
      <w:pPr>
        <w:jc w:val="both"/>
      </w:pPr>
      <w:r>
        <w:t>These are my main findings (for detailed results see the Appendix):</w:t>
      </w:r>
    </w:p>
    <w:p w14:paraId="5E8D6FC2" w14:textId="77777777" w:rsidR="004E6B93" w:rsidRDefault="004E6B93">
      <w:pPr>
        <w:jc w:val="both"/>
      </w:pPr>
    </w:p>
    <w:p w14:paraId="73054EAC" w14:textId="77777777" w:rsidR="004E6B93" w:rsidRDefault="0078359C">
      <w:pPr>
        <w:jc w:val="both"/>
      </w:pPr>
      <w:r>
        <w:t xml:space="preserve">CAGR </w:t>
      </w:r>
    </w:p>
    <w:p w14:paraId="2DA81D96" w14:textId="77777777" w:rsidR="004E6B93" w:rsidRDefault="0078359C">
      <w:pPr>
        <w:numPr>
          <w:ilvl w:val="0"/>
          <w:numId w:val="4"/>
        </w:numPr>
        <w:jc w:val="both"/>
      </w:pPr>
      <w:r>
        <w:t>with percentile channels strategy varies from 5.9% to 20.9% with an average of 12.9%</w:t>
      </w:r>
    </w:p>
    <w:p w14:paraId="2583DC22" w14:textId="77777777" w:rsidR="004E6B93" w:rsidRDefault="0078359C">
      <w:pPr>
        <w:numPr>
          <w:ilvl w:val="0"/>
          <w:numId w:val="4"/>
        </w:numPr>
        <w:jc w:val="both"/>
      </w:pPr>
      <w:r>
        <w:t>with equal weight strategy varies from 5.7% to 23.5% with an average of 13.2%</w:t>
      </w:r>
    </w:p>
    <w:p w14:paraId="4EA0D99F" w14:textId="77777777" w:rsidR="004E6B93" w:rsidRDefault="0078359C">
      <w:pPr>
        <w:numPr>
          <w:ilvl w:val="0"/>
          <w:numId w:val="4"/>
        </w:numPr>
        <w:jc w:val="both"/>
        <w:rPr>
          <w:b/>
        </w:rPr>
      </w:pPr>
      <w:r>
        <w:rPr>
          <w:b/>
        </w:rPr>
        <w:t>105 times percentile channels strategy had a higher CAGR, 103 times the equal weight</w:t>
      </w:r>
    </w:p>
    <w:p w14:paraId="0BC9775D" w14:textId="77777777" w:rsidR="004E6B93" w:rsidRDefault="004E6B93">
      <w:pPr>
        <w:ind w:left="720"/>
        <w:jc w:val="both"/>
      </w:pPr>
    </w:p>
    <w:p w14:paraId="4AF4F304" w14:textId="77777777" w:rsidR="004E6B93" w:rsidRDefault="0078359C">
      <w:pPr>
        <w:jc w:val="both"/>
      </w:pPr>
      <w:r>
        <w:t>Sharpe Ratio</w:t>
      </w:r>
    </w:p>
    <w:p w14:paraId="321BBE31" w14:textId="77777777" w:rsidR="004E6B93" w:rsidRDefault="0078359C">
      <w:pPr>
        <w:numPr>
          <w:ilvl w:val="0"/>
          <w:numId w:val="4"/>
        </w:numPr>
        <w:jc w:val="both"/>
      </w:pPr>
      <w:r>
        <w:t>with percentile channels strategy varies from 0.72 to 1.43 with an average of 1.09</w:t>
      </w:r>
    </w:p>
    <w:p w14:paraId="6D5C1A31" w14:textId="77777777" w:rsidR="004E6B93" w:rsidRDefault="0078359C">
      <w:pPr>
        <w:numPr>
          <w:ilvl w:val="0"/>
          <w:numId w:val="4"/>
        </w:numPr>
        <w:jc w:val="both"/>
      </w:pPr>
      <w:r>
        <w:t>with equal weight strategy varies from 0.39 to 1.11 with an average of 0.7</w:t>
      </w:r>
      <w:r>
        <w:t>3</w:t>
      </w:r>
    </w:p>
    <w:p w14:paraId="0165B314" w14:textId="77777777" w:rsidR="004E6B93" w:rsidRDefault="0078359C">
      <w:pPr>
        <w:numPr>
          <w:ilvl w:val="0"/>
          <w:numId w:val="4"/>
        </w:numPr>
        <w:jc w:val="both"/>
        <w:rPr>
          <w:b/>
        </w:rPr>
      </w:pPr>
      <w:r>
        <w:rPr>
          <w:b/>
        </w:rPr>
        <w:t xml:space="preserve">Percentile channels strategy had a higher SR in </w:t>
      </w:r>
      <w:proofErr w:type="gramStart"/>
      <w:r>
        <w:rPr>
          <w:b/>
        </w:rPr>
        <w:t>all(</w:t>
      </w:r>
      <w:proofErr w:type="gramEnd"/>
      <w:r>
        <w:rPr>
          <w:b/>
        </w:rPr>
        <w:t>!!!) 208 groups</w:t>
      </w:r>
    </w:p>
    <w:p w14:paraId="3593C1AF" w14:textId="77777777" w:rsidR="004E6B93" w:rsidRDefault="004E6B93">
      <w:pPr>
        <w:jc w:val="both"/>
      </w:pPr>
    </w:p>
    <w:p w14:paraId="007A31FE" w14:textId="77777777" w:rsidR="004E6B93" w:rsidRDefault="0078359C">
      <w:pPr>
        <w:jc w:val="both"/>
      </w:pPr>
      <w:r>
        <w:t>Max DD</w:t>
      </w:r>
    </w:p>
    <w:p w14:paraId="6ADC8CED" w14:textId="77777777" w:rsidR="004E6B93" w:rsidRDefault="0078359C">
      <w:pPr>
        <w:numPr>
          <w:ilvl w:val="0"/>
          <w:numId w:val="4"/>
        </w:numPr>
        <w:jc w:val="both"/>
      </w:pPr>
      <w:r>
        <w:t>with percentile channels strategy varies from 9.7% to 28.2% with an average of 19.3%</w:t>
      </w:r>
    </w:p>
    <w:p w14:paraId="2A174E05" w14:textId="77777777" w:rsidR="004E6B93" w:rsidRDefault="0078359C">
      <w:pPr>
        <w:numPr>
          <w:ilvl w:val="0"/>
          <w:numId w:val="4"/>
        </w:numPr>
        <w:jc w:val="both"/>
      </w:pPr>
      <w:r>
        <w:t>with equal weight strategy varies from 34.8% to 73% with an average of 54.4%</w:t>
      </w:r>
    </w:p>
    <w:p w14:paraId="5B18E6D0" w14:textId="77777777" w:rsidR="004E6B93" w:rsidRDefault="0078359C">
      <w:pPr>
        <w:numPr>
          <w:ilvl w:val="0"/>
          <w:numId w:val="4"/>
        </w:numPr>
        <w:jc w:val="both"/>
      </w:pPr>
      <w:r>
        <w:t>So not surprisin</w:t>
      </w:r>
      <w:r>
        <w:t xml:space="preserve">gly </w:t>
      </w:r>
      <w:r>
        <w:rPr>
          <w:b/>
        </w:rPr>
        <w:t xml:space="preserve">Percentile channels strategy had a lower MDD also in </w:t>
      </w:r>
      <w:proofErr w:type="gramStart"/>
      <w:r>
        <w:rPr>
          <w:b/>
        </w:rPr>
        <w:t>all(</w:t>
      </w:r>
      <w:proofErr w:type="gramEnd"/>
      <w:r>
        <w:rPr>
          <w:b/>
        </w:rPr>
        <w:t>!!!) 208 groups</w:t>
      </w:r>
    </w:p>
    <w:p w14:paraId="655BA0F6" w14:textId="77777777" w:rsidR="004E6B93" w:rsidRDefault="004E6B93">
      <w:pPr>
        <w:jc w:val="both"/>
      </w:pPr>
    </w:p>
    <w:p w14:paraId="073AF0B0" w14:textId="77777777" w:rsidR="004E6B93" w:rsidRDefault="0078359C">
      <w:pPr>
        <w:jc w:val="both"/>
      </w:pPr>
      <w:r>
        <w:t>Number of losing years</w:t>
      </w:r>
    </w:p>
    <w:p w14:paraId="7B3031F4" w14:textId="77777777" w:rsidR="004E6B93" w:rsidRDefault="0078359C">
      <w:pPr>
        <w:numPr>
          <w:ilvl w:val="0"/>
          <w:numId w:val="4"/>
        </w:numPr>
        <w:jc w:val="both"/>
      </w:pPr>
      <w:r>
        <w:t>with percentile channels strategy varies from 0 to 5 with an average of 1.8</w:t>
      </w:r>
    </w:p>
    <w:p w14:paraId="02F94951" w14:textId="77777777" w:rsidR="004E6B93" w:rsidRDefault="0078359C">
      <w:pPr>
        <w:numPr>
          <w:ilvl w:val="0"/>
          <w:numId w:val="4"/>
        </w:numPr>
        <w:jc w:val="both"/>
      </w:pPr>
      <w:r>
        <w:t>with equal weight strategy varies from 1 to 6 with an average of 3.0</w:t>
      </w:r>
    </w:p>
    <w:p w14:paraId="307E5CA7" w14:textId="77777777" w:rsidR="004E6B93" w:rsidRDefault="0078359C">
      <w:pPr>
        <w:numPr>
          <w:ilvl w:val="0"/>
          <w:numId w:val="4"/>
        </w:numPr>
        <w:jc w:val="both"/>
      </w:pPr>
      <w:r>
        <w:t>Percentile</w:t>
      </w:r>
      <w:r>
        <w:t xml:space="preserve"> channels strategy had </w:t>
      </w:r>
      <w:proofErr w:type="gramStart"/>
      <w:r>
        <w:t>less</w:t>
      </w:r>
      <w:proofErr w:type="gramEnd"/>
      <w:r>
        <w:t xml:space="preserve"> losing years in 141 groups and the same in in other 45 groups. Equal weight strategy had </w:t>
      </w:r>
      <w:proofErr w:type="gramStart"/>
      <w:r>
        <w:t>less</w:t>
      </w:r>
      <w:proofErr w:type="gramEnd"/>
      <w:r>
        <w:t xml:space="preserve"> losing years only in 22 cases</w:t>
      </w:r>
    </w:p>
    <w:p w14:paraId="7AB53D4C" w14:textId="77777777" w:rsidR="004E6B93" w:rsidRDefault="004E6B93">
      <w:pPr>
        <w:jc w:val="both"/>
      </w:pPr>
    </w:p>
    <w:p w14:paraId="15FD7A28" w14:textId="77777777" w:rsidR="004E6B93" w:rsidRDefault="004E6B93">
      <w:pPr>
        <w:jc w:val="both"/>
      </w:pPr>
    </w:p>
    <w:p w14:paraId="38441996" w14:textId="77777777" w:rsidR="004E6B93" w:rsidRDefault="0078359C">
      <w:pPr>
        <w:jc w:val="both"/>
      </w:pPr>
      <w:r>
        <w:t xml:space="preserve">Based upon these findings we can state that </w:t>
      </w:r>
      <w:r>
        <w:rPr>
          <w:b/>
        </w:rPr>
        <w:t xml:space="preserve">percentile channels strategy is clearly better than equal </w:t>
      </w:r>
      <w:r>
        <w:rPr>
          <w:b/>
        </w:rPr>
        <w:t>weight strategy regardless the selected stocks</w:t>
      </w:r>
      <w:r>
        <w:t xml:space="preserve">. Although it’s a fifty-fifty situation regarding CAGRs - </w:t>
      </w:r>
      <w:r>
        <w:rPr>
          <w:b/>
        </w:rPr>
        <w:t>percentile channels strategy can reach these values with much better SRs and MDDs</w:t>
      </w:r>
      <w:r>
        <w:t xml:space="preserve">. </w:t>
      </w:r>
      <w:r>
        <w:rPr>
          <w:color w:val="222222"/>
          <w:highlight w:val="white"/>
        </w:rPr>
        <w:t>This is a big win of the trend following approach vs. the mean revers</w:t>
      </w:r>
      <w:r>
        <w:rPr>
          <w:color w:val="222222"/>
          <w:highlight w:val="white"/>
        </w:rPr>
        <w:t>ion approach not only in our momentum style gamechanger stocks but also in a general real-life stock universe case (2,704 stocks).</w:t>
      </w:r>
    </w:p>
    <w:p w14:paraId="27966D28" w14:textId="77777777" w:rsidR="004E6B93" w:rsidRDefault="004E6B93">
      <w:pPr>
        <w:jc w:val="both"/>
      </w:pPr>
    </w:p>
    <w:p w14:paraId="50E64CF4" w14:textId="77777777" w:rsidR="004E6B93" w:rsidRDefault="0078359C">
      <w:pPr>
        <w:pStyle w:val="Heading2"/>
        <w:jc w:val="both"/>
        <w:rPr>
          <w:color w:val="CC0000"/>
        </w:rPr>
      </w:pPr>
      <w:bookmarkStart w:id="20" w:name="_6lpi8eqgdrw" w:colFirst="0" w:colLast="0"/>
      <w:bookmarkEnd w:id="20"/>
      <w:r>
        <w:br w:type="page"/>
      </w:r>
    </w:p>
    <w:p w14:paraId="2E231A0A" w14:textId="77777777" w:rsidR="004E6B93" w:rsidRDefault="0078359C">
      <w:pPr>
        <w:pStyle w:val="Heading2"/>
        <w:jc w:val="both"/>
        <w:rPr>
          <w:color w:val="CC0000"/>
        </w:rPr>
      </w:pPr>
      <w:bookmarkStart w:id="21" w:name="_kfnvtuaq429y" w:colFirst="0" w:colLast="0"/>
      <w:bookmarkEnd w:id="21"/>
      <w:r>
        <w:rPr>
          <w:color w:val="CC0000"/>
        </w:rPr>
        <w:lastRenderedPageBreak/>
        <w:t>Different parameters for percentile channels strategy with random stocks</w:t>
      </w:r>
    </w:p>
    <w:p w14:paraId="13AAAC9B" w14:textId="77777777" w:rsidR="004E6B93" w:rsidRDefault="004E6B93"/>
    <w:p w14:paraId="15AC67EA" w14:textId="77777777" w:rsidR="004E6B93" w:rsidRDefault="0078359C">
      <w:pPr>
        <w:jc w:val="both"/>
      </w:pPr>
      <w:r>
        <w:t xml:space="preserve">I also performed several </w:t>
      </w:r>
      <w:proofErr w:type="gramStart"/>
      <w:r>
        <w:t>calculation</w:t>
      </w:r>
      <w:proofErr w:type="gramEnd"/>
      <w:r>
        <w:t xml:space="preserve"> with these random groups to check </w:t>
      </w:r>
      <w:r>
        <w:rPr>
          <w:b/>
        </w:rPr>
        <w:t>whether there are better thresholds</w:t>
      </w:r>
      <w:r>
        <w:t xml:space="preserve"> for the original percentile channels strategy. Instead of the original 75th</w:t>
      </w:r>
      <w:r>
        <w:t xml:space="preserve"> (entry) and 25th (exit) percentile I tried the following combinations:</w:t>
      </w:r>
    </w:p>
    <w:p w14:paraId="121B38ED" w14:textId="77777777" w:rsidR="004E6B93" w:rsidRDefault="004E6B93">
      <w:pPr>
        <w:ind w:left="720"/>
      </w:pPr>
    </w:p>
    <w:p w14:paraId="3963A96D" w14:textId="77777777" w:rsidR="004E6B93" w:rsidRDefault="0078359C">
      <w:pPr>
        <w:jc w:val="center"/>
        <w:rPr>
          <w:sz w:val="18"/>
          <w:szCs w:val="18"/>
        </w:rPr>
      </w:pPr>
      <w:r>
        <w:rPr>
          <w:sz w:val="18"/>
          <w:szCs w:val="18"/>
        </w:rPr>
        <w:t xml:space="preserve">Table 14. Main performance indicators for percentile strategy in 208 random groups, </w:t>
      </w:r>
    </w:p>
    <w:p w14:paraId="3F677F75" w14:textId="77777777" w:rsidR="004E6B93" w:rsidRDefault="0078359C">
      <w:pPr>
        <w:jc w:val="center"/>
      </w:pPr>
      <w:r>
        <w:rPr>
          <w:sz w:val="18"/>
          <w:szCs w:val="18"/>
        </w:rPr>
        <w:t>with different entry and exit thresholds, 2003-2018</w:t>
      </w:r>
    </w:p>
    <w:p w14:paraId="00918293" w14:textId="77777777" w:rsidR="004E6B93" w:rsidRDefault="004E6B93">
      <w:pPr>
        <w:jc w:val="center"/>
      </w:pPr>
    </w:p>
    <w:p w14:paraId="694AF76C" w14:textId="77777777" w:rsidR="004E6B93" w:rsidRDefault="0078359C">
      <w:r>
        <w:rPr>
          <w:noProof/>
        </w:rPr>
        <w:drawing>
          <wp:inline distT="114300" distB="114300" distL="114300" distR="114300" wp14:anchorId="41B8B5E8" wp14:editId="66276497">
            <wp:extent cx="7052400" cy="16002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7052400" cy="1600200"/>
                    </a:xfrm>
                    <a:prstGeom prst="rect">
                      <a:avLst/>
                    </a:prstGeom>
                    <a:ln/>
                  </pic:spPr>
                </pic:pic>
              </a:graphicData>
            </a:graphic>
          </wp:inline>
        </w:drawing>
      </w:r>
    </w:p>
    <w:p w14:paraId="7C02E903" w14:textId="77777777" w:rsidR="004E6B93" w:rsidRDefault="004E6B93"/>
    <w:p w14:paraId="16B20A49" w14:textId="77777777" w:rsidR="004E6B93" w:rsidRDefault="0078359C">
      <w:pPr>
        <w:jc w:val="both"/>
      </w:pPr>
      <w:r>
        <w:t xml:space="preserve">As we can see the </w:t>
      </w:r>
      <w:r>
        <w:rPr>
          <w:b/>
        </w:rPr>
        <w:t>minimum and average Shar</w:t>
      </w:r>
      <w:r>
        <w:rPr>
          <w:b/>
        </w:rPr>
        <w:t>pe Ratio and maxDD too was the best with the original thresholds and meanwhile max and average CAGR was also the second highest</w:t>
      </w:r>
      <w:r>
        <w:t>.</w:t>
      </w:r>
    </w:p>
    <w:p w14:paraId="47413F1A" w14:textId="77777777" w:rsidR="004E6B93" w:rsidRDefault="004E6B93">
      <w:pPr>
        <w:jc w:val="both"/>
      </w:pPr>
    </w:p>
    <w:p w14:paraId="2D1EA535" w14:textId="77777777" w:rsidR="004E6B93" w:rsidRDefault="0078359C">
      <w:pPr>
        <w:jc w:val="both"/>
      </w:pPr>
      <w:r>
        <w:t xml:space="preserve">The </w:t>
      </w:r>
      <w:proofErr w:type="gramStart"/>
      <w:r>
        <w:t>second best</w:t>
      </w:r>
      <w:proofErr w:type="gramEnd"/>
      <w:r>
        <w:t xml:space="preserve"> option seems to be the 75th-10th combination: it has the highest max and average CAGR, the second best average</w:t>
      </w:r>
      <w:r>
        <w:t xml:space="preserve"> Sharpe Ratio, the lowest avg number of losing years - but unfortunately the highest max MDD as well. The third best candidate maybe the 65th-35th thresholds: it has the lowest average maxDD, the third lowest average number of losing years and the third hi</w:t>
      </w:r>
      <w:r>
        <w:t>ghest average Sharpe Ratio.</w:t>
      </w:r>
    </w:p>
    <w:p w14:paraId="0BB4B727" w14:textId="77777777" w:rsidR="004E6B93" w:rsidRDefault="004E6B93">
      <w:pPr>
        <w:jc w:val="both"/>
      </w:pPr>
    </w:p>
    <w:p w14:paraId="2EE2FEED" w14:textId="77777777" w:rsidR="004E6B93" w:rsidRDefault="0078359C">
      <w:pPr>
        <w:jc w:val="both"/>
      </w:pPr>
      <w:proofErr w:type="gramStart"/>
      <w:r>
        <w:t>However</w:t>
      </w:r>
      <w:proofErr w:type="gramEnd"/>
      <w:r>
        <w:t xml:space="preserve"> all in all </w:t>
      </w:r>
      <w:r>
        <w:rPr>
          <w:b/>
        </w:rPr>
        <w:t>I don’t suggest to change the original thresholds</w:t>
      </w:r>
      <w:r>
        <w:t xml:space="preserve"> (and this finding is inline with Balazs’ previous results).</w:t>
      </w:r>
    </w:p>
    <w:p w14:paraId="555AA6EF" w14:textId="77777777" w:rsidR="004E6B93" w:rsidRDefault="004E6B93">
      <w:pPr>
        <w:jc w:val="both"/>
      </w:pPr>
    </w:p>
    <w:p w14:paraId="11C2FAB0" w14:textId="77777777" w:rsidR="004E6B93" w:rsidRDefault="0078359C">
      <w:pPr>
        <w:jc w:val="both"/>
      </w:pPr>
      <w:r>
        <w:t xml:space="preserve">I also checked whether there </w:t>
      </w:r>
      <w:proofErr w:type="gramStart"/>
      <w:r>
        <w:t>are</w:t>
      </w:r>
      <w:proofErr w:type="gramEnd"/>
      <w:r>
        <w:t xml:space="preserve"> better look-back period for historical volatility:</w:t>
      </w:r>
    </w:p>
    <w:p w14:paraId="0017FFF1" w14:textId="77777777" w:rsidR="004E6B93" w:rsidRDefault="004E6B93">
      <w:pPr>
        <w:jc w:val="both"/>
      </w:pPr>
    </w:p>
    <w:p w14:paraId="33C27766" w14:textId="77777777" w:rsidR="004E6B93" w:rsidRDefault="0078359C">
      <w:pPr>
        <w:jc w:val="center"/>
        <w:rPr>
          <w:sz w:val="18"/>
          <w:szCs w:val="18"/>
        </w:rPr>
      </w:pPr>
      <w:r>
        <w:rPr>
          <w:sz w:val="18"/>
          <w:szCs w:val="18"/>
        </w:rPr>
        <w:t>Table 15. Ma</w:t>
      </w:r>
      <w:r>
        <w:rPr>
          <w:sz w:val="18"/>
          <w:szCs w:val="18"/>
        </w:rPr>
        <w:t xml:space="preserve">in performance indicators for percentile strategy in 208 random groups, </w:t>
      </w:r>
    </w:p>
    <w:p w14:paraId="466B5C65" w14:textId="77777777" w:rsidR="004E6B93" w:rsidRDefault="0078359C">
      <w:pPr>
        <w:jc w:val="center"/>
      </w:pPr>
      <w:r>
        <w:rPr>
          <w:sz w:val="18"/>
          <w:szCs w:val="18"/>
        </w:rPr>
        <w:t>with different historical volatility look-back periods, 2003-2018</w:t>
      </w:r>
    </w:p>
    <w:p w14:paraId="1FC47C17" w14:textId="77777777" w:rsidR="004E6B93" w:rsidRDefault="0078359C">
      <w:pPr>
        <w:jc w:val="both"/>
      </w:pPr>
      <w:r>
        <w:rPr>
          <w:noProof/>
        </w:rPr>
        <w:drawing>
          <wp:inline distT="114300" distB="114300" distL="114300" distR="114300" wp14:anchorId="104AD07F" wp14:editId="212D513C">
            <wp:extent cx="7052400" cy="1270000"/>
            <wp:effectExtent l="0" t="0" r="0" b="0"/>
            <wp:docPr id="5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7"/>
                    <a:srcRect/>
                    <a:stretch>
                      <a:fillRect/>
                    </a:stretch>
                  </pic:blipFill>
                  <pic:spPr>
                    <a:xfrm>
                      <a:off x="0" y="0"/>
                      <a:ext cx="7052400" cy="1270000"/>
                    </a:xfrm>
                    <a:prstGeom prst="rect">
                      <a:avLst/>
                    </a:prstGeom>
                    <a:ln/>
                  </pic:spPr>
                </pic:pic>
              </a:graphicData>
            </a:graphic>
          </wp:inline>
        </w:drawing>
      </w:r>
    </w:p>
    <w:p w14:paraId="4FD93953" w14:textId="77777777" w:rsidR="004E6B93" w:rsidRDefault="004E6B93">
      <w:pPr>
        <w:jc w:val="both"/>
      </w:pPr>
    </w:p>
    <w:p w14:paraId="5B78FD1E" w14:textId="77777777" w:rsidR="004E6B93" w:rsidRDefault="0078359C">
      <w:pPr>
        <w:jc w:val="both"/>
      </w:pPr>
      <w:r>
        <w:t xml:space="preserve">Although minimum of Sharpe Ratio and maximum of maxDD are the best with the original </w:t>
      </w:r>
      <w:proofErr w:type="gramStart"/>
      <w:r>
        <w:t>20 day</w:t>
      </w:r>
      <w:proofErr w:type="gramEnd"/>
      <w:r>
        <w:t xml:space="preserve"> parameter it seems tha</w:t>
      </w:r>
      <w:r>
        <w:t>t this parameter is not the best choice. Maybe 40 (or 50) days would be better - however the difference is not significant. My suggestion is to use the original 20 days or (40 days if we want to change).</w:t>
      </w:r>
    </w:p>
    <w:p w14:paraId="4B934B2E" w14:textId="77777777" w:rsidR="004E6B93" w:rsidRDefault="004E6B93">
      <w:pPr>
        <w:jc w:val="both"/>
      </w:pPr>
    </w:p>
    <w:p w14:paraId="6CB7F109" w14:textId="77777777" w:rsidR="004E6B93" w:rsidRDefault="004E6B93">
      <w:pPr>
        <w:jc w:val="both"/>
      </w:pPr>
    </w:p>
    <w:p w14:paraId="67A6D17D" w14:textId="77777777" w:rsidR="004E6B93" w:rsidRDefault="0078359C">
      <w:pPr>
        <w:pStyle w:val="Heading2"/>
        <w:jc w:val="both"/>
      </w:pPr>
      <w:bookmarkStart w:id="22" w:name="_8a7n96qmb9ky" w:colFirst="0" w:colLast="0"/>
      <w:bookmarkEnd w:id="22"/>
      <w:r>
        <w:rPr>
          <w:color w:val="CC0000"/>
        </w:rPr>
        <w:t>Percentile channels strategy with our suggested ad</w:t>
      </w:r>
      <w:r>
        <w:rPr>
          <w:color w:val="CC0000"/>
        </w:rPr>
        <w:t>diction-portfolio</w:t>
      </w:r>
    </w:p>
    <w:p w14:paraId="05BFA5EB" w14:textId="77777777" w:rsidR="004E6B93" w:rsidRDefault="004E6B93"/>
    <w:p w14:paraId="244CE55D" w14:textId="77777777" w:rsidR="004E6B93" w:rsidRDefault="0078359C">
      <w:pPr>
        <w:jc w:val="both"/>
      </w:pPr>
      <w:r>
        <w:lastRenderedPageBreak/>
        <w:t xml:space="preserve">In January 2019 we started a </w:t>
      </w:r>
      <w:hyperlink r:id="rId58" w:anchor="heading=h.1zfdmy2euu4y">
        <w:r>
          <w:rPr>
            <w:color w:val="1155CC"/>
            <w:u w:val="single"/>
          </w:rPr>
          <w:t>new portfolio</w:t>
        </w:r>
      </w:hyperlink>
      <w:r>
        <w:t xml:space="preserve"> with addiction related stocks. Among our suggested stocks alcohol, defense, gambling and tobacco related stocks </w:t>
      </w:r>
      <w:r>
        <w:t xml:space="preserve">had a long history - therefore I tested percentile channels strategy vs equal weight strategy on that portfolio too. Namely I used the following 20 stocks (+TLT) in this backtest: ATVI, BA, BUD, DEO, EA, GD, HEINY, HON, LMT, LVS, MO, MTCH, NOC, PM, PDRDY, </w:t>
      </w:r>
      <w:r>
        <w:t>RTN, SCHYY, STZ, UTX and WYNN.</w:t>
      </w:r>
    </w:p>
    <w:p w14:paraId="3507F515" w14:textId="77777777" w:rsidR="004E6B93" w:rsidRDefault="0078359C">
      <w:pPr>
        <w:jc w:val="center"/>
        <w:rPr>
          <w:sz w:val="18"/>
          <w:szCs w:val="18"/>
        </w:rPr>
      </w:pPr>
      <w:r>
        <w:rPr>
          <w:sz w:val="18"/>
          <w:szCs w:val="18"/>
        </w:rPr>
        <w:t xml:space="preserve">Table 16a-d. Main performance indicators for addictive-stocks with percentile channels strategy and equal weight strategy, </w:t>
      </w:r>
    </w:p>
    <w:p w14:paraId="0D51E75F" w14:textId="77777777" w:rsidR="004E6B93" w:rsidRDefault="0078359C">
      <w:pPr>
        <w:jc w:val="center"/>
      </w:pPr>
      <w:r>
        <w:rPr>
          <w:sz w:val="18"/>
          <w:szCs w:val="18"/>
        </w:rPr>
        <w:t>with weekly and monthly rebalance frequencies, 2003-2018</w:t>
      </w:r>
    </w:p>
    <w:p w14:paraId="1A25D898" w14:textId="77777777" w:rsidR="004E6B93" w:rsidRDefault="004E6B93">
      <w:pPr>
        <w:jc w:val="both"/>
      </w:pPr>
    </w:p>
    <w:p w14:paraId="38F2F1B9" w14:textId="77777777" w:rsidR="004E6B93" w:rsidRDefault="0078359C">
      <w:pPr>
        <w:jc w:val="center"/>
      </w:pPr>
      <w:r>
        <w:rPr>
          <w:noProof/>
        </w:rPr>
        <w:drawing>
          <wp:inline distT="114300" distB="114300" distL="114300" distR="114300" wp14:anchorId="62922E01" wp14:editId="1CFBD9F2">
            <wp:extent cx="3366181" cy="2826113"/>
            <wp:effectExtent l="0" t="0" r="0" b="0"/>
            <wp:docPr id="3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9"/>
                    <a:srcRect/>
                    <a:stretch>
                      <a:fillRect/>
                    </a:stretch>
                  </pic:blipFill>
                  <pic:spPr>
                    <a:xfrm>
                      <a:off x="0" y="0"/>
                      <a:ext cx="3366181" cy="2826113"/>
                    </a:xfrm>
                    <a:prstGeom prst="rect">
                      <a:avLst/>
                    </a:prstGeom>
                    <a:ln/>
                  </pic:spPr>
                </pic:pic>
              </a:graphicData>
            </a:graphic>
          </wp:inline>
        </w:drawing>
      </w:r>
      <w:r>
        <w:rPr>
          <w:noProof/>
        </w:rPr>
        <w:drawing>
          <wp:inline distT="114300" distB="114300" distL="114300" distR="114300" wp14:anchorId="04E4DCE1" wp14:editId="5AFA4D8C">
            <wp:extent cx="3366181" cy="2826113"/>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0"/>
                    <a:srcRect/>
                    <a:stretch>
                      <a:fillRect/>
                    </a:stretch>
                  </pic:blipFill>
                  <pic:spPr>
                    <a:xfrm>
                      <a:off x="0" y="0"/>
                      <a:ext cx="3366181" cy="2826113"/>
                    </a:xfrm>
                    <a:prstGeom prst="rect">
                      <a:avLst/>
                    </a:prstGeom>
                    <a:ln/>
                  </pic:spPr>
                </pic:pic>
              </a:graphicData>
            </a:graphic>
          </wp:inline>
        </w:drawing>
      </w:r>
    </w:p>
    <w:p w14:paraId="5B300A04" w14:textId="77777777" w:rsidR="004E6B93" w:rsidRDefault="0078359C">
      <w:pPr>
        <w:jc w:val="center"/>
      </w:pPr>
      <w:r>
        <w:rPr>
          <w:noProof/>
        </w:rPr>
        <w:drawing>
          <wp:inline distT="114300" distB="114300" distL="114300" distR="114300" wp14:anchorId="4F7DDB56" wp14:editId="2A54462A">
            <wp:extent cx="3409950" cy="3013893"/>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1"/>
                    <a:srcRect/>
                    <a:stretch>
                      <a:fillRect/>
                    </a:stretch>
                  </pic:blipFill>
                  <pic:spPr>
                    <a:xfrm>
                      <a:off x="0" y="0"/>
                      <a:ext cx="3409950" cy="3013893"/>
                    </a:xfrm>
                    <a:prstGeom prst="rect">
                      <a:avLst/>
                    </a:prstGeom>
                    <a:ln/>
                  </pic:spPr>
                </pic:pic>
              </a:graphicData>
            </a:graphic>
          </wp:inline>
        </w:drawing>
      </w:r>
      <w:r>
        <w:rPr>
          <w:noProof/>
        </w:rPr>
        <w:drawing>
          <wp:inline distT="114300" distB="114300" distL="114300" distR="114300" wp14:anchorId="7E147D84" wp14:editId="73201CFF">
            <wp:extent cx="3386138" cy="2996822"/>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2"/>
                    <a:srcRect/>
                    <a:stretch>
                      <a:fillRect/>
                    </a:stretch>
                  </pic:blipFill>
                  <pic:spPr>
                    <a:xfrm>
                      <a:off x="0" y="0"/>
                      <a:ext cx="3386138" cy="2996822"/>
                    </a:xfrm>
                    <a:prstGeom prst="rect">
                      <a:avLst/>
                    </a:prstGeom>
                    <a:ln/>
                  </pic:spPr>
                </pic:pic>
              </a:graphicData>
            </a:graphic>
          </wp:inline>
        </w:drawing>
      </w:r>
    </w:p>
    <w:p w14:paraId="5CFD240D" w14:textId="77777777" w:rsidR="004E6B93" w:rsidRDefault="004E6B93"/>
    <w:p w14:paraId="765CF670" w14:textId="77777777" w:rsidR="004E6B93" w:rsidRDefault="0078359C">
      <w:pPr>
        <w:rPr>
          <w:b/>
        </w:rPr>
      </w:pPr>
      <w:r>
        <w:t xml:space="preserve">The situation is the same again: </w:t>
      </w:r>
      <w:r>
        <w:rPr>
          <w:b/>
        </w:rPr>
        <w:t>equ</w:t>
      </w:r>
      <w:r>
        <w:rPr>
          <w:b/>
        </w:rPr>
        <w:t>al weight strategy produces slightly better CAGRs but we have to pay a big price on lower SRs and higher MDDs</w:t>
      </w:r>
      <w:r>
        <w:t xml:space="preserve">. There </w:t>
      </w:r>
      <w:proofErr w:type="gramStart"/>
      <w:r>
        <w:t>is</w:t>
      </w:r>
      <w:proofErr w:type="gramEnd"/>
      <w:r>
        <w:t xml:space="preserve"> </w:t>
      </w:r>
      <w:r>
        <w:rPr>
          <w:b/>
        </w:rPr>
        <w:t xml:space="preserve">no significant differences between weekly and monthly </w:t>
      </w:r>
      <w:r>
        <w:t xml:space="preserve">rebalances - </w:t>
      </w:r>
      <w:r>
        <w:rPr>
          <w:color w:val="222222"/>
          <w:highlight w:val="white"/>
        </w:rPr>
        <w:t xml:space="preserve">so </w:t>
      </w:r>
      <w:r>
        <w:rPr>
          <w:b/>
          <w:color w:val="222222"/>
          <w:highlight w:val="white"/>
        </w:rPr>
        <w:t>all in all using the monthly (rarer rebalancing) percentile channe</w:t>
      </w:r>
      <w:r>
        <w:rPr>
          <w:b/>
          <w:color w:val="222222"/>
          <w:highlight w:val="white"/>
        </w:rPr>
        <w:t>ls strategy is recommended at this group of stocks as well</w:t>
      </w:r>
      <w:r>
        <w:rPr>
          <w:color w:val="222222"/>
          <w:highlight w:val="white"/>
        </w:rPr>
        <w:t>.</w:t>
      </w:r>
    </w:p>
    <w:p w14:paraId="67672038" w14:textId="77777777" w:rsidR="004E6B93" w:rsidRDefault="004E6B93">
      <w:pPr>
        <w:jc w:val="both"/>
      </w:pPr>
    </w:p>
    <w:p w14:paraId="7A4BF628" w14:textId="77777777" w:rsidR="004E6B93" w:rsidRDefault="004E6B93">
      <w:pPr>
        <w:jc w:val="both"/>
      </w:pPr>
    </w:p>
    <w:p w14:paraId="4F2F595C" w14:textId="77777777" w:rsidR="004E6B93" w:rsidRDefault="0078359C">
      <w:pPr>
        <w:pStyle w:val="Heading1"/>
        <w:jc w:val="both"/>
        <w:rPr>
          <w:color w:val="38761D"/>
        </w:rPr>
      </w:pPr>
      <w:bookmarkStart w:id="23" w:name="_j11no2yxdtkp" w:colFirst="0" w:colLast="0"/>
      <w:bookmarkEnd w:id="23"/>
      <w:r>
        <w:rPr>
          <w:color w:val="38761D"/>
        </w:rPr>
        <w:lastRenderedPageBreak/>
        <w:t>Conclusion</w:t>
      </w:r>
    </w:p>
    <w:p w14:paraId="66840FF0" w14:textId="77777777" w:rsidR="004E6B93" w:rsidRDefault="004E6B93"/>
    <w:p w14:paraId="73644B24" w14:textId="77777777" w:rsidR="004E6B93" w:rsidRDefault="0078359C">
      <w:pPr>
        <w:jc w:val="both"/>
      </w:pPr>
      <w:r>
        <w:t>In this study we tried to</w:t>
      </w:r>
      <w:r>
        <w:rPr>
          <w:b/>
        </w:rPr>
        <w:t xml:space="preserve"> find an optimal rebalance technique</w:t>
      </w:r>
      <w:r>
        <w:t xml:space="preserve"> for our portfolios, where optimal basically means:  </w:t>
      </w:r>
    </w:p>
    <w:p w14:paraId="69A3A5ED" w14:textId="77777777" w:rsidR="004E6B93" w:rsidRDefault="0078359C">
      <w:pPr>
        <w:numPr>
          <w:ilvl w:val="0"/>
          <w:numId w:val="2"/>
        </w:numPr>
        <w:jc w:val="both"/>
      </w:pPr>
      <w:r>
        <w:t xml:space="preserve">to find an optimal rebalance frequency  </w:t>
      </w:r>
    </w:p>
    <w:p w14:paraId="46216D0F" w14:textId="77777777" w:rsidR="004E6B93" w:rsidRDefault="0078359C">
      <w:pPr>
        <w:numPr>
          <w:ilvl w:val="0"/>
          <w:numId w:val="2"/>
        </w:numPr>
        <w:jc w:val="both"/>
      </w:pPr>
      <w:r>
        <w:t>not to invest into into dy</w:t>
      </w:r>
      <w:r>
        <w:t>ing stocks</w:t>
      </w:r>
    </w:p>
    <w:p w14:paraId="0B61AAE0" w14:textId="77777777" w:rsidR="004E6B93" w:rsidRDefault="0078359C">
      <w:pPr>
        <w:numPr>
          <w:ilvl w:val="0"/>
          <w:numId w:val="2"/>
        </w:numPr>
        <w:jc w:val="both"/>
      </w:pPr>
      <w:r>
        <w:t>take into account the performance of other stocks in the portfolio to find the optimal weights</w:t>
      </w:r>
    </w:p>
    <w:p w14:paraId="3CE4FF5C" w14:textId="77777777" w:rsidR="004E6B93" w:rsidRDefault="004E6B93">
      <w:pPr>
        <w:jc w:val="both"/>
      </w:pPr>
    </w:p>
    <w:p w14:paraId="382537CD" w14:textId="77777777" w:rsidR="004E6B93" w:rsidRDefault="0078359C">
      <w:pPr>
        <w:jc w:val="both"/>
      </w:pPr>
      <w:r>
        <w:t xml:space="preserve">In the first section of the study we saw that although in the </w:t>
      </w:r>
      <w:proofErr w:type="gramStart"/>
      <w:r>
        <w:t>most simple</w:t>
      </w:r>
      <w:proofErr w:type="gramEnd"/>
      <w:r>
        <w:t xml:space="preserve"> case we can find a rule that helps to make a decision in the rare vs freque</w:t>
      </w:r>
      <w:r>
        <w:t xml:space="preserve">nt rebalancing question but the situation becomes extremely complex very soon if we have more stocks and periods. </w:t>
      </w:r>
      <w:proofErr w:type="gramStart"/>
      <w:r>
        <w:t>Generally</w:t>
      </w:r>
      <w:proofErr w:type="gramEnd"/>
      <w:r>
        <w:t xml:space="preserve"> we cannot state anything which frequency is the better. However according to the result of some random </w:t>
      </w:r>
      <w:proofErr w:type="gramStart"/>
      <w:r>
        <w:t>number based</w:t>
      </w:r>
      <w:proofErr w:type="gramEnd"/>
      <w:r>
        <w:t xml:space="preserve"> modelling </w:t>
      </w:r>
      <w:r>
        <w:rPr>
          <w:b/>
        </w:rPr>
        <w:t>it see</w:t>
      </w:r>
      <w:r>
        <w:rPr>
          <w:b/>
        </w:rPr>
        <w:t>ms that frequent rebalance has a slight advantage</w:t>
      </w:r>
      <w:r>
        <w:t xml:space="preserve"> (51-52% vs 48-49%) over rare rebalance.</w:t>
      </w:r>
    </w:p>
    <w:p w14:paraId="06DA82FA" w14:textId="77777777" w:rsidR="004E6B93" w:rsidRDefault="0078359C">
      <w:pPr>
        <w:jc w:val="both"/>
        <w:rPr>
          <w:color w:val="222222"/>
        </w:rPr>
      </w:pPr>
      <w:r>
        <w:rPr>
          <w:color w:val="222222"/>
        </w:rPr>
        <w:t>This small extra profit seems to be the compensation of the small probability extra risk of the dying stocks scenario. More frequent rebalancing is more of a mean rev</w:t>
      </w:r>
      <w:r>
        <w:rPr>
          <w:color w:val="222222"/>
        </w:rPr>
        <w:t>ersion play. While less rebalancing is a better environment for trend following stocks by keeping winners and not investing into losers.</w:t>
      </w:r>
    </w:p>
    <w:p w14:paraId="07DF5996" w14:textId="77777777" w:rsidR="004E6B93" w:rsidRDefault="004E6B93">
      <w:pPr>
        <w:jc w:val="both"/>
      </w:pPr>
    </w:p>
    <w:p w14:paraId="1E7C7BC7" w14:textId="77777777" w:rsidR="004E6B93" w:rsidRDefault="004E6B93">
      <w:pPr>
        <w:jc w:val="both"/>
      </w:pPr>
    </w:p>
    <w:p w14:paraId="28A5422F" w14:textId="77777777" w:rsidR="004E6B93" w:rsidRDefault="0078359C">
      <w:pPr>
        <w:jc w:val="both"/>
      </w:pPr>
      <w:r>
        <w:t xml:space="preserve">In the second part, </w:t>
      </w:r>
      <w:r>
        <w:rPr>
          <w:color w:val="222222"/>
          <w:highlight w:val="white"/>
        </w:rPr>
        <w:t>we tested one trend following rebalancing, the</w:t>
      </w:r>
      <w:r>
        <w:t xml:space="preserve"> </w:t>
      </w:r>
      <w:proofErr w:type="gramStart"/>
      <w:r>
        <w:t>so called</w:t>
      </w:r>
      <w:proofErr w:type="gramEnd"/>
      <w:r>
        <w:t xml:space="preserve"> percentile channels strategy where the e</w:t>
      </w:r>
      <w:r>
        <w:t>ntry point in case of a given stock based on the 75th percentile and the exit point on the 25th percentile of the closing prices of last n days. We tested this strategy with many setups and different (even random) group of stocks. Here we saw that although</w:t>
      </w:r>
      <w:r>
        <w:t xml:space="preserve"> </w:t>
      </w:r>
      <w:r>
        <w:rPr>
          <w:b/>
        </w:rPr>
        <w:t>in the long term weekly and monthly rebalance produce nearly the same results</w:t>
      </w:r>
      <w:r>
        <w:t xml:space="preserve"> on short term the difference can reach sometime even 20%. What was in common in them that both rebalance frequencies produced better results than simple </w:t>
      </w:r>
      <w:r>
        <w:rPr>
          <w:b/>
        </w:rPr>
        <w:t>equal weight technique</w:t>
      </w:r>
      <w:r>
        <w:t xml:space="preserve">. </w:t>
      </w:r>
      <w:proofErr w:type="gramStart"/>
      <w:r>
        <w:t>Actually</w:t>
      </w:r>
      <w:proofErr w:type="gramEnd"/>
      <w:r>
        <w:t xml:space="preserve"> </w:t>
      </w:r>
      <w:r>
        <w:rPr>
          <w:b/>
        </w:rPr>
        <w:t>CAGR is not significantly differs</w:t>
      </w:r>
      <w:r>
        <w:t xml:space="preserve"> with percentile channels strategy but </w:t>
      </w:r>
      <w:r>
        <w:rPr>
          <w:b/>
        </w:rPr>
        <w:t>with this technique we can reach it with a lower standard deviation (and therefore with higher Sharpe Ratio) and lower max drawdown</w:t>
      </w:r>
      <w:r>
        <w:t xml:space="preserve"> - so it is strongly recommended to a risk-a</w:t>
      </w:r>
      <w:r>
        <w:t>verse investor.</w:t>
      </w:r>
    </w:p>
    <w:p w14:paraId="66E8C416" w14:textId="77777777" w:rsidR="004E6B93" w:rsidRDefault="004E6B93">
      <w:pPr>
        <w:jc w:val="both"/>
      </w:pPr>
    </w:p>
    <w:p w14:paraId="0AB776FB" w14:textId="77777777" w:rsidR="004E6B93" w:rsidRDefault="0078359C">
      <w:pPr>
        <w:jc w:val="both"/>
      </w:pPr>
      <w:r>
        <w:t>We tried other entry- and exit-rules and different parameter setups as well. While the changing of former ones erodes our results - applying of new parameters doesn’t improve them significantly. (Maybe only our historical volatility look-b</w:t>
      </w:r>
      <w:r>
        <w:t>ack period could be changed from 20 days to 40 days).</w:t>
      </w:r>
    </w:p>
    <w:p w14:paraId="3B5C3FBE" w14:textId="77777777" w:rsidR="004E6B93" w:rsidRDefault="004E6B93">
      <w:pPr>
        <w:jc w:val="both"/>
      </w:pPr>
    </w:p>
    <w:p w14:paraId="5D063D94" w14:textId="77777777" w:rsidR="004E6B93" w:rsidRDefault="0078359C">
      <w:pPr>
        <w:jc w:val="both"/>
      </w:pPr>
      <w:r>
        <w:t xml:space="preserve">We also checked that the above statement about SR and mDD are true not only in given group of stocks but even in (practically any) random groups. </w:t>
      </w:r>
      <w:proofErr w:type="gramStart"/>
      <w:r>
        <w:t>Actually</w:t>
      </w:r>
      <w:proofErr w:type="gramEnd"/>
      <w:r>
        <w:t xml:space="preserve"> </w:t>
      </w:r>
      <w:r>
        <w:rPr>
          <w:b/>
        </w:rPr>
        <w:t>Sharpe Ratio and maxDD were better in each cas</w:t>
      </w:r>
      <w:r>
        <w:rPr>
          <w:b/>
        </w:rPr>
        <w:t>e</w:t>
      </w:r>
      <w:r>
        <w:t xml:space="preserve"> that we tested (more than 200 groups)! </w:t>
      </w:r>
      <w:proofErr w:type="gramStart"/>
      <w:r>
        <w:t>So</w:t>
      </w:r>
      <w:proofErr w:type="gramEnd"/>
      <w:r>
        <w:t xml:space="preserve"> did in the last chapter where we tested the advantages on our </w:t>
      </w:r>
      <w:r>
        <w:rPr>
          <w:b/>
        </w:rPr>
        <w:t>brand-new addiction-portfolio: with percentile channels we got ~1.3 SR and ~22% MDD in our backtest while they were only 0.9 and ~62% with equal weigh</w:t>
      </w:r>
      <w:r>
        <w:rPr>
          <w:b/>
        </w:rPr>
        <w:t>t technique.</w:t>
      </w:r>
      <w:r>
        <w:t xml:space="preserve"> </w:t>
      </w:r>
    </w:p>
    <w:p w14:paraId="537543A3" w14:textId="77777777" w:rsidR="004E6B93" w:rsidRDefault="0078359C">
      <w:pPr>
        <w:jc w:val="both"/>
        <w:rPr>
          <w:b/>
        </w:rPr>
      </w:pPr>
      <w:r>
        <w:rPr>
          <w:b/>
          <w:color w:val="222222"/>
          <w:highlight w:val="white"/>
        </w:rPr>
        <w:t>It is strongly recommended</w:t>
      </w:r>
      <w:r>
        <w:rPr>
          <w:color w:val="222222"/>
          <w:highlight w:val="white"/>
        </w:rPr>
        <w:t xml:space="preserve"> to rebalance our </w:t>
      </w:r>
      <w:r>
        <w:rPr>
          <w:b/>
          <w:color w:val="222222"/>
          <w:highlight w:val="white"/>
        </w:rPr>
        <w:t>SIN portfolio every month according to this Percentile Channels strategy.</w:t>
      </w:r>
    </w:p>
    <w:p w14:paraId="54B09B21" w14:textId="77777777" w:rsidR="004E6B93" w:rsidRDefault="0078359C">
      <w:pPr>
        <w:pStyle w:val="Heading1"/>
        <w:jc w:val="both"/>
        <w:rPr>
          <w:color w:val="38761D"/>
        </w:rPr>
      </w:pPr>
      <w:bookmarkStart w:id="24" w:name="_suqx1d9wc928" w:colFirst="0" w:colLast="0"/>
      <w:bookmarkEnd w:id="24"/>
      <w:r>
        <w:br w:type="page"/>
      </w:r>
    </w:p>
    <w:p w14:paraId="163C35CE" w14:textId="77777777" w:rsidR="004E6B93" w:rsidRDefault="0078359C">
      <w:pPr>
        <w:pStyle w:val="Heading1"/>
        <w:rPr>
          <w:color w:val="38761D"/>
        </w:rPr>
      </w:pPr>
      <w:bookmarkStart w:id="25" w:name="_xf55afn2c7d1" w:colFirst="0" w:colLast="0"/>
      <w:bookmarkEnd w:id="25"/>
      <w:r>
        <w:rPr>
          <w:color w:val="38761D"/>
        </w:rPr>
        <w:lastRenderedPageBreak/>
        <w:t>Appendix</w:t>
      </w:r>
    </w:p>
    <w:p w14:paraId="1EE8DA22" w14:textId="77777777" w:rsidR="004E6B93" w:rsidRDefault="0078359C">
      <w:pPr>
        <w:jc w:val="center"/>
      </w:pPr>
      <w:r>
        <w:rPr>
          <w:sz w:val="18"/>
          <w:szCs w:val="18"/>
        </w:rPr>
        <w:lastRenderedPageBreak/>
        <w:t>Results of 208 random group of stocks with percentile channel and equal weight rebalance techniques (both monthly)</w:t>
      </w:r>
      <w:r>
        <w:rPr>
          <w:noProof/>
        </w:rPr>
        <w:drawing>
          <wp:inline distT="114300" distB="114300" distL="114300" distR="114300" wp14:anchorId="32056025" wp14:editId="13462883">
            <wp:extent cx="6397047" cy="8651512"/>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3"/>
                    <a:srcRect/>
                    <a:stretch>
                      <a:fillRect/>
                    </a:stretch>
                  </pic:blipFill>
                  <pic:spPr>
                    <a:xfrm>
                      <a:off x="0" y="0"/>
                      <a:ext cx="6397047" cy="8651512"/>
                    </a:xfrm>
                    <a:prstGeom prst="rect">
                      <a:avLst/>
                    </a:prstGeom>
                    <a:ln/>
                  </pic:spPr>
                </pic:pic>
              </a:graphicData>
            </a:graphic>
          </wp:inline>
        </w:drawing>
      </w:r>
    </w:p>
    <w:p w14:paraId="660509F7" w14:textId="77777777" w:rsidR="004E6B93" w:rsidRDefault="0078359C">
      <w:pPr>
        <w:jc w:val="center"/>
      </w:pPr>
      <w:r>
        <w:rPr>
          <w:noProof/>
        </w:rPr>
        <w:lastRenderedPageBreak/>
        <w:drawing>
          <wp:inline distT="114300" distB="114300" distL="114300" distR="114300" wp14:anchorId="058CDE7E" wp14:editId="08404465">
            <wp:extent cx="6635673" cy="9108712"/>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4"/>
                    <a:srcRect/>
                    <a:stretch>
                      <a:fillRect/>
                    </a:stretch>
                  </pic:blipFill>
                  <pic:spPr>
                    <a:xfrm>
                      <a:off x="0" y="0"/>
                      <a:ext cx="6635673" cy="9108712"/>
                    </a:xfrm>
                    <a:prstGeom prst="rect">
                      <a:avLst/>
                    </a:prstGeom>
                    <a:ln/>
                  </pic:spPr>
                </pic:pic>
              </a:graphicData>
            </a:graphic>
          </wp:inline>
        </w:drawing>
      </w:r>
    </w:p>
    <w:p w14:paraId="6A5C2ABC" w14:textId="77777777" w:rsidR="004E6B93" w:rsidRDefault="004E6B93"/>
    <w:p w14:paraId="6CE05E9D" w14:textId="77777777" w:rsidR="004E6B93" w:rsidRDefault="0078359C">
      <w:pPr>
        <w:jc w:val="center"/>
      </w:pPr>
      <w:r>
        <w:rPr>
          <w:noProof/>
        </w:rPr>
        <w:drawing>
          <wp:inline distT="114300" distB="114300" distL="114300" distR="114300" wp14:anchorId="248C8825" wp14:editId="3E4FC8C9">
            <wp:extent cx="6721133" cy="8546737"/>
            <wp:effectExtent l="0" t="0" r="0" b="0"/>
            <wp:docPr id="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5"/>
                    <a:srcRect/>
                    <a:stretch>
                      <a:fillRect/>
                    </a:stretch>
                  </pic:blipFill>
                  <pic:spPr>
                    <a:xfrm>
                      <a:off x="0" y="0"/>
                      <a:ext cx="6721133" cy="8546737"/>
                    </a:xfrm>
                    <a:prstGeom prst="rect">
                      <a:avLst/>
                    </a:prstGeom>
                    <a:ln/>
                  </pic:spPr>
                </pic:pic>
              </a:graphicData>
            </a:graphic>
          </wp:inline>
        </w:drawing>
      </w:r>
    </w:p>
    <w:p w14:paraId="769A9196" w14:textId="77777777" w:rsidR="004E6B93" w:rsidRDefault="0078359C">
      <w:r>
        <w:rPr>
          <w:noProof/>
        </w:rPr>
        <w:lastRenderedPageBreak/>
        <w:drawing>
          <wp:inline distT="114300" distB="114300" distL="114300" distR="114300" wp14:anchorId="15D69C97" wp14:editId="654210F7">
            <wp:extent cx="7052400" cy="2565400"/>
            <wp:effectExtent l="0" t="0" r="0" b="0"/>
            <wp:docPr id="5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6"/>
                    <a:srcRect/>
                    <a:stretch>
                      <a:fillRect/>
                    </a:stretch>
                  </pic:blipFill>
                  <pic:spPr>
                    <a:xfrm>
                      <a:off x="0" y="0"/>
                      <a:ext cx="7052400" cy="2565400"/>
                    </a:xfrm>
                    <a:prstGeom prst="rect">
                      <a:avLst/>
                    </a:prstGeom>
                    <a:ln/>
                  </pic:spPr>
                </pic:pic>
              </a:graphicData>
            </a:graphic>
          </wp:inline>
        </w:drawing>
      </w:r>
    </w:p>
    <w:sectPr w:rsidR="004E6B93">
      <w:headerReference w:type="even" r:id="rId67"/>
      <w:headerReference w:type="default" r:id="rId68"/>
      <w:footerReference w:type="even" r:id="rId69"/>
      <w:footerReference w:type="default" r:id="rId70"/>
      <w:headerReference w:type="first" r:id="rId71"/>
      <w:footerReference w:type="first" r:id="rId72"/>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7A827" w14:textId="77777777" w:rsidR="0078359C" w:rsidRDefault="0078359C">
      <w:pPr>
        <w:spacing w:line="240" w:lineRule="auto"/>
      </w:pPr>
      <w:r>
        <w:separator/>
      </w:r>
    </w:p>
  </w:endnote>
  <w:endnote w:type="continuationSeparator" w:id="0">
    <w:p w14:paraId="7F34D18F" w14:textId="77777777" w:rsidR="0078359C" w:rsidRDefault="007835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auto"/>
    <w:pitch w:val="default"/>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7D0B" w14:textId="77777777" w:rsidR="00BA67E6" w:rsidRDefault="00BA6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8A33A" w14:textId="77777777" w:rsidR="004E6B93" w:rsidRDefault="0078359C">
    <w:pPr>
      <w:pBdr>
        <w:top w:val="nil"/>
        <w:left w:val="nil"/>
        <w:bottom w:val="nil"/>
        <w:right w:val="nil"/>
        <w:between w:val="nil"/>
      </w:pBdr>
      <w:jc w:val="right"/>
    </w:pPr>
    <w:r>
      <w:fldChar w:fldCharType="begin"/>
    </w:r>
    <w:r>
      <w:instrText>PAGE</w:instrText>
    </w:r>
    <w:r w:rsidR="00BA67E6">
      <w:fldChar w:fldCharType="separate"/>
    </w:r>
    <w:r w:rsidR="00BA67E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BF085" w14:textId="77777777" w:rsidR="00BA67E6" w:rsidRDefault="00BA6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AB557" w14:textId="77777777" w:rsidR="0078359C" w:rsidRDefault="0078359C">
      <w:pPr>
        <w:spacing w:line="240" w:lineRule="auto"/>
      </w:pPr>
      <w:r>
        <w:separator/>
      </w:r>
    </w:p>
  </w:footnote>
  <w:footnote w:type="continuationSeparator" w:id="0">
    <w:p w14:paraId="7AF6241E" w14:textId="77777777" w:rsidR="0078359C" w:rsidRDefault="0078359C">
      <w:pPr>
        <w:spacing w:line="240" w:lineRule="auto"/>
      </w:pPr>
      <w:r>
        <w:continuationSeparator/>
      </w:r>
    </w:p>
  </w:footnote>
  <w:footnote w:id="1">
    <w:p w14:paraId="511ECE69" w14:textId="77777777" w:rsidR="004E6B93" w:rsidRDefault="0078359C">
      <w:pPr>
        <w:spacing w:line="240" w:lineRule="auto"/>
        <w:rPr>
          <w:sz w:val="18"/>
          <w:szCs w:val="18"/>
        </w:rPr>
      </w:pPr>
      <w:r>
        <w:rPr>
          <w:vertAlign w:val="superscript"/>
        </w:rPr>
        <w:footnoteRef/>
      </w:r>
      <w:r>
        <w:rPr>
          <w:sz w:val="18"/>
          <w:szCs w:val="18"/>
        </w:rPr>
        <w:t xml:space="preserve"> For ranking the days first I ranked the days for each stock individually and assigned to them a percentile ranking - then I took the average of these percentile rankings and calculated an overall ranking according to this average</w:t>
      </w:r>
    </w:p>
  </w:footnote>
  <w:footnote w:id="2">
    <w:p w14:paraId="25E17594" w14:textId="77777777" w:rsidR="004E6B93" w:rsidRDefault="0078359C">
      <w:pPr>
        <w:spacing w:line="240" w:lineRule="auto"/>
        <w:rPr>
          <w:sz w:val="20"/>
          <w:szCs w:val="20"/>
        </w:rPr>
      </w:pPr>
      <w:r>
        <w:rPr>
          <w:vertAlign w:val="superscript"/>
        </w:rPr>
        <w:footnoteRef/>
      </w:r>
      <w:r>
        <w:rPr>
          <w:sz w:val="20"/>
          <w:szCs w:val="20"/>
        </w:rPr>
        <w:t xml:space="preserve"> Please note that until </w:t>
      </w:r>
      <w:r>
        <w:rPr>
          <w:sz w:val="20"/>
          <w:szCs w:val="20"/>
        </w:rPr>
        <w:t>2002-07-30 we used cash instead of TLT in both calculations anyway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C631D" w14:textId="77777777" w:rsidR="00BA67E6" w:rsidRDefault="00BA67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E1F18" w14:textId="1C341BA2" w:rsidR="004E6B93" w:rsidRDefault="0078359C">
    <w:pPr>
      <w:rPr>
        <w:sz w:val="18"/>
        <w:szCs w:val="18"/>
      </w:rPr>
    </w:pPr>
    <w:r>
      <w:rPr>
        <w:color w:val="222222"/>
        <w:sz w:val="18"/>
        <w:szCs w:val="18"/>
        <w:highlight w:val="white"/>
      </w:rPr>
      <w:t>The ‘Charmat Rebalancing’ Method</w:t>
    </w:r>
    <w:r>
      <w:rPr>
        <w:sz w:val="18"/>
        <w:szCs w:val="18"/>
      </w:rPr>
      <w:tab/>
    </w:r>
    <w:r>
      <w:rPr>
        <w:sz w:val="18"/>
        <w:szCs w:val="18"/>
      </w:rPr>
      <w:tab/>
    </w:r>
    <w:r>
      <w:rPr>
        <w:sz w:val="18"/>
        <w:szCs w:val="18"/>
      </w:rPr>
      <w:tab/>
    </w:r>
    <w:r>
      <w:rPr>
        <w:sz w:val="18"/>
        <w:szCs w:val="18"/>
      </w:rPr>
      <w:tab/>
    </w:r>
    <w:r>
      <w:rPr>
        <w:sz w:val="18"/>
        <w:szCs w:val="18"/>
      </w:rPr>
      <w:tab/>
    </w:r>
    <w:r w:rsidR="00BA67E6">
      <w:rPr>
        <w:sz w:val="18"/>
        <w:szCs w:val="18"/>
      </w:rPr>
      <w:t>Dr. George Antal</w:t>
    </w:r>
    <w:r>
      <w:rPr>
        <w:sz w:val="18"/>
        <w:szCs w:val="18"/>
      </w:rPr>
      <w:t>, 3DClick Ltd. 2019-</w:t>
    </w:r>
    <w:r w:rsidR="00BA67E6">
      <w:rPr>
        <w:sz w:val="18"/>
        <w:szCs w:val="18"/>
      </w:rPr>
      <w:t>12</w:t>
    </w:r>
    <w:r>
      <w:rPr>
        <w:sz w:val="18"/>
        <w:szCs w:val="18"/>
      </w:rPr>
      <w:t>-</w:t>
    </w:r>
    <w:r w:rsidR="00BA67E6">
      <w:rPr>
        <w:sz w:val="18"/>
        <w:szCs w:val="18"/>
      </w:rPr>
      <w:t>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39500" w14:textId="77777777" w:rsidR="00BA67E6" w:rsidRDefault="00BA6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41815"/>
    <w:multiLevelType w:val="multilevel"/>
    <w:tmpl w:val="1BC6D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F3373C"/>
    <w:multiLevelType w:val="multilevel"/>
    <w:tmpl w:val="95264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274BD8"/>
    <w:multiLevelType w:val="multilevel"/>
    <w:tmpl w:val="C58E7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FA4366"/>
    <w:multiLevelType w:val="multilevel"/>
    <w:tmpl w:val="9F728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C87A48"/>
    <w:multiLevelType w:val="multilevel"/>
    <w:tmpl w:val="FF4E0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314EF8"/>
    <w:multiLevelType w:val="multilevel"/>
    <w:tmpl w:val="9CF0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AA7C9C"/>
    <w:multiLevelType w:val="multilevel"/>
    <w:tmpl w:val="A1164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82687F"/>
    <w:multiLevelType w:val="multilevel"/>
    <w:tmpl w:val="3B8AA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463318"/>
    <w:multiLevelType w:val="multilevel"/>
    <w:tmpl w:val="9A94B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1"/>
  </w:num>
  <w:num w:numId="4">
    <w:abstractNumId w:val="5"/>
  </w:num>
  <w:num w:numId="5">
    <w:abstractNumId w:val="7"/>
  </w:num>
  <w:num w:numId="6">
    <w:abstractNumId w:val="8"/>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B93"/>
    <w:rsid w:val="004E6B93"/>
    <w:rsid w:val="0078359C"/>
    <w:rsid w:val="00BA6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D517A"/>
  <w15:docId w15:val="{7EA5D34F-9B73-44FC-ACA2-406790FE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A67E6"/>
    <w:pPr>
      <w:tabs>
        <w:tab w:val="center" w:pos="4513"/>
        <w:tab w:val="right" w:pos="9026"/>
      </w:tabs>
      <w:spacing w:line="240" w:lineRule="auto"/>
    </w:pPr>
  </w:style>
  <w:style w:type="character" w:customStyle="1" w:styleId="HeaderChar">
    <w:name w:val="Header Char"/>
    <w:basedOn w:val="DefaultParagraphFont"/>
    <w:link w:val="Header"/>
    <w:uiPriority w:val="99"/>
    <w:rsid w:val="00BA67E6"/>
  </w:style>
  <w:style w:type="paragraph" w:styleId="Footer">
    <w:name w:val="footer"/>
    <w:basedOn w:val="Normal"/>
    <w:link w:val="FooterChar"/>
    <w:uiPriority w:val="99"/>
    <w:unhideWhenUsed/>
    <w:rsid w:val="00BA67E6"/>
    <w:pPr>
      <w:tabs>
        <w:tab w:val="center" w:pos="4513"/>
        <w:tab w:val="right" w:pos="9026"/>
      </w:tabs>
      <w:spacing w:line="240" w:lineRule="auto"/>
    </w:pPr>
  </w:style>
  <w:style w:type="character" w:customStyle="1" w:styleId="FooterChar">
    <w:name w:val="Footer Char"/>
    <w:basedOn w:val="DefaultParagraphFont"/>
    <w:link w:val="Footer"/>
    <w:uiPriority w:val="99"/>
    <w:rsid w:val="00BA6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cs.google.com/document/d/1dBHg3-McaHeCtxCTZdJhTKF5NPaixXYjEngZ4F2_ZBE/edit" TargetMode="Externa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docs.google.com/document/d/1dBHg3-McaHeCtxCTZdJhTKF5NPaixXYjEngZ4F2_ZBE/edit" TargetMode="External"/><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snifferquant.com/docs/Studies/Misc/Tactical%20Asset%20Allocation%20with%20Game%20Changer%20Stocks.docx"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6577</Words>
  <Characters>37490</Characters>
  <Application>Microsoft Office Word</Application>
  <DocSecurity>0</DocSecurity>
  <Lines>312</Lines>
  <Paragraphs>87</Paragraphs>
  <ScaleCrop>false</ScaleCrop>
  <Company/>
  <LinksUpToDate>false</LinksUpToDate>
  <CharactersWithSpaces>43980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gyantal</cp:lastModifiedBy>
  <cp:revision>2</cp:revision>
  <dcterms:created xsi:type="dcterms:W3CDTF">2020-09-09T11:02:00Z</dcterms:created>
  <dcterms:modified xsi:type="dcterms:W3CDTF">2020-09-09T11:03:00Z</dcterms:modified>
</cp:coreProperties>
</file>