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E2E13EE" w14:textId="77777777" w:rsidR="00051511" w:rsidRDefault="00051511" w:rsidP="00051511">
      <w:pPr>
        <w:pStyle w:val="Title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</w:rPr>
      </w:pPr>
      <w:bookmarkStart w:id="0" w:name="_b1y0q5med62k" w:colFirst="0" w:colLast="0"/>
      <w:bookmarkEnd w:id="0"/>
    </w:p>
    <w:p w14:paraId="28BF780A" w14:textId="77777777" w:rsidR="00051511" w:rsidRDefault="00051511" w:rsidP="00051511">
      <w:pPr>
        <w:jc w:val="center"/>
      </w:pPr>
      <w:r>
        <w:t>Dr. George Antal</w:t>
      </w:r>
    </w:p>
    <w:p w14:paraId="546CE4A8" w14:textId="77777777" w:rsidR="00051511" w:rsidRDefault="00051511" w:rsidP="00051511">
      <w:pPr>
        <w:jc w:val="center"/>
      </w:pPr>
      <w:r>
        <w:t>3D Click Limited</w:t>
      </w:r>
    </w:p>
    <w:p w14:paraId="708CF6BE" w14:textId="77777777" w:rsidR="00051511" w:rsidRDefault="00051511" w:rsidP="00051511">
      <w:pPr>
        <w:jc w:val="center"/>
      </w:pPr>
      <w:r>
        <w:t>c/o Suite 431, 28 Old Brompton Road, London SW7 3SS</w:t>
      </w:r>
    </w:p>
    <w:p w14:paraId="6AE2BE92" w14:textId="77777777" w:rsidR="00051511" w:rsidRPr="00BF4644" w:rsidRDefault="00051511" w:rsidP="00051511"/>
    <w:p w14:paraId="43DF0776" w14:textId="77777777" w:rsidR="00051511" w:rsidRDefault="00051511">
      <w:pPr>
        <w:pStyle w:val="Title"/>
        <w:spacing w:after="800"/>
        <w:jc w:val="center"/>
        <w:rPr>
          <w:b/>
          <w:color w:val="0000FF"/>
        </w:rPr>
      </w:pPr>
    </w:p>
    <w:p w14:paraId="211AAF89" w14:textId="436622AD" w:rsidR="00D75F07" w:rsidRPr="003B382E" w:rsidRDefault="00404909" w:rsidP="003B382E">
      <w:pPr>
        <w:pStyle w:val="Title"/>
        <w:spacing w:after="800"/>
        <w:jc w:val="center"/>
      </w:pPr>
      <w:r>
        <w:rPr>
          <w:b/>
          <w:color w:val="0000FF"/>
        </w:rPr>
        <w:t>Hedges and Correlations</w:t>
      </w:r>
      <w:bookmarkStart w:id="1" w:name="_krjiv4llcnno" w:colFirst="0" w:colLast="0"/>
      <w:bookmarkEnd w:id="1"/>
    </w:p>
    <w:p w14:paraId="17CCDC8F" w14:textId="77777777" w:rsidR="00D75F07" w:rsidRDefault="00404909">
      <w:pPr>
        <w:pStyle w:val="Heading2"/>
        <w:rPr>
          <w:color w:val="38761D"/>
        </w:rPr>
      </w:pPr>
      <w:bookmarkStart w:id="2" w:name="_7q3u0okfoe8n" w:colFirst="0" w:colLast="0"/>
      <w:bookmarkEnd w:id="2"/>
      <w:proofErr w:type="spellStart"/>
      <w:r>
        <w:rPr>
          <w:rFonts w:ascii="Arial" w:eastAsia="Arial" w:hAnsi="Arial" w:cs="Arial"/>
          <w:color w:val="FF0000"/>
          <w:sz w:val="28"/>
          <w:szCs w:val="28"/>
        </w:rPr>
        <w:t>SnifferQuant</w:t>
      </w:r>
      <w:proofErr w:type="spellEnd"/>
      <w:r>
        <w:rPr>
          <w:rFonts w:ascii="Arial" w:eastAsia="Arial" w:hAnsi="Arial" w:cs="Arial"/>
          <w:color w:val="FF0000"/>
          <w:sz w:val="28"/>
          <w:szCs w:val="28"/>
        </w:rPr>
        <w:t xml:space="preserve"> Hedge-Selection Method</w:t>
      </w:r>
    </w:p>
    <w:p w14:paraId="29361FDC" w14:textId="77777777" w:rsidR="00D75F07" w:rsidRDefault="00D75F07">
      <w:pPr>
        <w:rPr>
          <w:sz w:val="28"/>
          <w:szCs w:val="28"/>
        </w:rPr>
      </w:pPr>
    </w:p>
    <w:p w14:paraId="1C710075" w14:textId="77777777" w:rsidR="00D75F07" w:rsidRDefault="00404909">
      <w:pPr>
        <w:pStyle w:val="Heading3"/>
        <w:rPr>
          <w:sz w:val="28"/>
          <w:szCs w:val="28"/>
        </w:rPr>
      </w:pPr>
      <w:bookmarkStart w:id="3" w:name="_2tr13h1f22i0" w:colFirst="0" w:colLast="0"/>
      <w:bookmarkEnd w:id="3"/>
      <w:r>
        <w:rPr>
          <w:sz w:val="28"/>
          <w:szCs w:val="28"/>
        </w:rPr>
        <w:t>Hedge Universe data</w:t>
      </w:r>
    </w:p>
    <w:p w14:paraId="362B518F" w14:textId="77777777" w:rsidR="00D75F07" w:rsidRDefault="00D75F07">
      <w:pPr>
        <w:rPr>
          <w:sz w:val="28"/>
          <w:szCs w:val="28"/>
        </w:rPr>
      </w:pPr>
    </w:p>
    <w:p w14:paraId="36E4B89C" w14:textId="77777777" w:rsidR="00D75F07" w:rsidRDefault="00404909">
      <w:pPr>
        <w:jc w:val="both"/>
      </w:pPr>
      <w:r>
        <w:t xml:space="preserve">During our analyses, </w:t>
      </w:r>
      <w:r>
        <w:rPr>
          <w:b/>
        </w:rPr>
        <w:t>16 different ETPs</w:t>
      </w:r>
      <w:r>
        <w:t xml:space="preserve"> are used as possible hedges. Fortunately, </w:t>
      </w:r>
      <w:r>
        <w:rPr>
          <w:b/>
        </w:rPr>
        <w:t>almost all of them were incepted before 2008, thus they were available during the financial crisis as well</w:t>
      </w:r>
      <w:r>
        <w:t>.</w:t>
      </w:r>
    </w:p>
    <w:p w14:paraId="7F8B1475" w14:textId="77777777" w:rsidR="00D75F07" w:rsidRDefault="00D75F07">
      <w:pPr>
        <w:jc w:val="both"/>
      </w:pPr>
    </w:p>
    <w:p w14:paraId="159CB9E7" w14:textId="77777777" w:rsidR="00D75F07" w:rsidRDefault="00404909">
      <w:pPr>
        <w:jc w:val="both"/>
      </w:pPr>
      <w:r>
        <w:t xml:space="preserve">The examined ETPs can be split into </w:t>
      </w:r>
      <w:r>
        <w:rPr>
          <w:b/>
        </w:rPr>
        <w:t>four groups: bonds, commodities, safe haven and others</w:t>
      </w:r>
      <w:r>
        <w:t>. The annualized mean returns of these ETPs by years can be found in Table 8. It is visible that,</w:t>
      </w:r>
      <w:r>
        <w:rPr>
          <w:b/>
        </w:rPr>
        <w:t xml:space="preserve"> compared to each other, these ETPs behave differently in various regimes, thus they (or their shorts) may be appropriate hedges for our portfolio and they should be selected dynamically</w:t>
      </w:r>
      <w:r>
        <w:t>.</w:t>
      </w:r>
    </w:p>
    <w:p w14:paraId="38948DE3" w14:textId="77777777" w:rsidR="00D75F07" w:rsidRDefault="00D75F07">
      <w:pPr>
        <w:jc w:val="both"/>
      </w:pPr>
    </w:p>
    <w:p w14:paraId="3614156E" w14:textId="77777777" w:rsidR="00D75F07" w:rsidRDefault="00404909">
      <w:r>
        <w:rPr>
          <w:u w:val="single"/>
        </w:rPr>
        <w:t>Possible hedger ETPs used during calculations:</w:t>
      </w:r>
    </w:p>
    <w:p w14:paraId="3B87003E" w14:textId="77777777" w:rsidR="00D75F07" w:rsidRDefault="00404909">
      <w:pPr>
        <w:numPr>
          <w:ilvl w:val="0"/>
          <w:numId w:val="6"/>
        </w:numPr>
      </w:pPr>
      <w:r>
        <w:t>Bonds:</w:t>
      </w:r>
    </w:p>
    <w:p w14:paraId="452117D9" w14:textId="77777777" w:rsidR="00D75F07" w:rsidRDefault="00841FF5">
      <w:pPr>
        <w:numPr>
          <w:ilvl w:val="1"/>
          <w:numId w:val="6"/>
        </w:numPr>
      </w:pPr>
      <w:hyperlink r:id="rId7">
        <w:r w:rsidR="00404909">
          <w:rPr>
            <w:color w:val="1155CC"/>
            <w:u w:val="single"/>
          </w:rPr>
          <w:t>TLT - iShares 20+ Year Treasury Bond ETF</w:t>
        </w:r>
      </w:hyperlink>
      <w:r w:rsidR="00404909">
        <w:t xml:space="preserve"> (since 2002-07-22);</w:t>
      </w:r>
    </w:p>
    <w:p w14:paraId="219CCB0E" w14:textId="77777777" w:rsidR="00D75F07" w:rsidRDefault="00841FF5">
      <w:pPr>
        <w:numPr>
          <w:ilvl w:val="1"/>
          <w:numId w:val="6"/>
        </w:numPr>
      </w:pPr>
      <w:hyperlink r:id="rId8">
        <w:r w:rsidR="00404909">
          <w:rPr>
            <w:color w:val="1155CC"/>
            <w:u w:val="single"/>
          </w:rPr>
          <w:t>IEF - iShares 7-10 Year Treasury Bond ETF</w:t>
        </w:r>
      </w:hyperlink>
      <w:r w:rsidR="00404909">
        <w:t xml:space="preserve"> (since 2002-07-30);</w:t>
      </w:r>
    </w:p>
    <w:p w14:paraId="1726AF28" w14:textId="77777777" w:rsidR="00D75F07" w:rsidRDefault="00841FF5">
      <w:pPr>
        <w:numPr>
          <w:ilvl w:val="1"/>
          <w:numId w:val="6"/>
        </w:numPr>
      </w:pPr>
      <w:hyperlink r:id="rId9">
        <w:r w:rsidR="00404909">
          <w:rPr>
            <w:color w:val="1155CC"/>
            <w:u w:val="single"/>
          </w:rPr>
          <w:t>SHY - iShares 1-3 Year Treasury Bond ETF</w:t>
        </w:r>
      </w:hyperlink>
      <w:r w:rsidR="00404909">
        <w:t xml:space="preserve"> (since 2002-07-30);</w:t>
      </w:r>
    </w:p>
    <w:p w14:paraId="421A478E" w14:textId="77777777" w:rsidR="00D75F07" w:rsidRDefault="00841FF5">
      <w:pPr>
        <w:numPr>
          <w:ilvl w:val="1"/>
          <w:numId w:val="6"/>
        </w:numPr>
      </w:pPr>
      <w:hyperlink r:id="rId10">
        <w:r w:rsidR="00404909">
          <w:rPr>
            <w:color w:val="1155CC"/>
            <w:u w:val="single"/>
          </w:rPr>
          <w:t>BWX - SPDR Bloomberg Barclays International Treasury Bond ETF</w:t>
        </w:r>
      </w:hyperlink>
      <w:r w:rsidR="00404909">
        <w:t xml:space="preserve"> (since 2007-10-02);</w:t>
      </w:r>
    </w:p>
    <w:p w14:paraId="0537EB01" w14:textId="77777777" w:rsidR="00D75F07" w:rsidRDefault="00841FF5">
      <w:pPr>
        <w:numPr>
          <w:ilvl w:val="1"/>
          <w:numId w:val="6"/>
        </w:numPr>
      </w:pPr>
      <w:hyperlink r:id="rId11">
        <w:r w:rsidR="00404909">
          <w:rPr>
            <w:color w:val="1155CC"/>
            <w:u w:val="single"/>
          </w:rPr>
          <w:t>EMB - iShares JPMorgan USD Emerging Markets Bond ETF</w:t>
        </w:r>
      </w:hyperlink>
      <w:r w:rsidR="00404909">
        <w:t xml:space="preserve"> (since 2007-12-17);</w:t>
      </w:r>
    </w:p>
    <w:p w14:paraId="4D3F45BA" w14:textId="77777777" w:rsidR="00D75F07" w:rsidRDefault="00404909">
      <w:pPr>
        <w:numPr>
          <w:ilvl w:val="0"/>
          <w:numId w:val="6"/>
        </w:numPr>
      </w:pPr>
      <w:r>
        <w:t>Commodities:</w:t>
      </w:r>
    </w:p>
    <w:p w14:paraId="0F62CB89" w14:textId="77777777" w:rsidR="00D75F07" w:rsidRDefault="00841FF5">
      <w:pPr>
        <w:numPr>
          <w:ilvl w:val="1"/>
          <w:numId w:val="6"/>
        </w:numPr>
      </w:pPr>
      <w:hyperlink r:id="rId12">
        <w:r w:rsidR="00404909">
          <w:rPr>
            <w:color w:val="1155CC"/>
            <w:u w:val="single"/>
          </w:rPr>
          <w:t xml:space="preserve">JJC - </w:t>
        </w:r>
        <w:proofErr w:type="spellStart"/>
        <w:r w:rsidR="00404909">
          <w:rPr>
            <w:color w:val="1155CC"/>
            <w:u w:val="single"/>
          </w:rPr>
          <w:t>iPath</w:t>
        </w:r>
        <w:proofErr w:type="spellEnd"/>
        <w:r w:rsidR="00404909">
          <w:rPr>
            <w:color w:val="1155CC"/>
            <w:u w:val="single"/>
          </w:rPr>
          <w:t xml:space="preserve"> Bloomberg Copper Subindex Total Return ETN</w:t>
        </w:r>
      </w:hyperlink>
      <w:r w:rsidR="00404909">
        <w:t xml:space="preserve"> (since 2007-10-23);</w:t>
      </w:r>
    </w:p>
    <w:p w14:paraId="5C270DE0" w14:textId="77777777" w:rsidR="00D75F07" w:rsidRDefault="00841FF5">
      <w:pPr>
        <w:numPr>
          <w:ilvl w:val="1"/>
          <w:numId w:val="6"/>
        </w:numPr>
      </w:pPr>
      <w:hyperlink r:id="rId13">
        <w:r w:rsidR="00404909">
          <w:rPr>
            <w:color w:val="1155CC"/>
            <w:u w:val="single"/>
          </w:rPr>
          <w:t>UNG - United States Natural Gas Fund LP</w:t>
        </w:r>
      </w:hyperlink>
      <w:r w:rsidR="00404909">
        <w:t xml:space="preserve"> (since 2007-04-18);</w:t>
      </w:r>
    </w:p>
    <w:p w14:paraId="614C32AC" w14:textId="77777777" w:rsidR="00D75F07" w:rsidRDefault="00841FF5">
      <w:pPr>
        <w:numPr>
          <w:ilvl w:val="1"/>
          <w:numId w:val="6"/>
        </w:numPr>
      </w:pPr>
      <w:hyperlink r:id="rId14">
        <w:r w:rsidR="00404909">
          <w:rPr>
            <w:color w:val="1155CC"/>
            <w:u w:val="single"/>
          </w:rPr>
          <w:t>USO - United States Oil Fund LP</w:t>
        </w:r>
      </w:hyperlink>
      <w:r w:rsidR="00404909">
        <w:t xml:space="preserve"> (since 2006-04-10);</w:t>
      </w:r>
    </w:p>
    <w:p w14:paraId="4340EAB1" w14:textId="77777777" w:rsidR="00D75F07" w:rsidRDefault="00841FF5">
      <w:pPr>
        <w:numPr>
          <w:ilvl w:val="1"/>
          <w:numId w:val="6"/>
        </w:numPr>
      </w:pPr>
      <w:hyperlink r:id="rId15">
        <w:r w:rsidR="00404909">
          <w:rPr>
            <w:color w:val="1155CC"/>
            <w:u w:val="single"/>
          </w:rPr>
          <w:t>DBC - Invesco DB Commodity Index Tracking Fund</w:t>
        </w:r>
      </w:hyperlink>
      <w:r w:rsidR="00404909">
        <w:t xml:space="preserve"> (since 2006-02-06);</w:t>
      </w:r>
    </w:p>
    <w:p w14:paraId="2C786BF5" w14:textId="77777777" w:rsidR="00D75F07" w:rsidRDefault="00404909">
      <w:pPr>
        <w:numPr>
          <w:ilvl w:val="0"/>
          <w:numId w:val="6"/>
        </w:numPr>
      </w:pPr>
      <w:r>
        <w:t>Safe Haven:</w:t>
      </w:r>
    </w:p>
    <w:p w14:paraId="22D25FCF" w14:textId="77777777" w:rsidR="00D75F07" w:rsidRDefault="00841FF5">
      <w:pPr>
        <w:numPr>
          <w:ilvl w:val="1"/>
          <w:numId w:val="6"/>
        </w:numPr>
      </w:pPr>
      <w:hyperlink r:id="rId16">
        <w:r w:rsidR="00404909">
          <w:rPr>
            <w:color w:val="1155CC"/>
            <w:u w:val="single"/>
          </w:rPr>
          <w:t>GLD - SPDR Gold Trust</w:t>
        </w:r>
      </w:hyperlink>
      <w:r w:rsidR="00404909">
        <w:t xml:space="preserve"> (since 2004-11-12);</w:t>
      </w:r>
    </w:p>
    <w:p w14:paraId="7BB25ED0" w14:textId="77777777" w:rsidR="00D75F07" w:rsidRDefault="00841FF5">
      <w:pPr>
        <w:numPr>
          <w:ilvl w:val="1"/>
          <w:numId w:val="6"/>
        </w:numPr>
      </w:pPr>
      <w:hyperlink r:id="rId17">
        <w:r w:rsidR="00404909">
          <w:rPr>
            <w:color w:val="1155CC"/>
            <w:u w:val="single"/>
          </w:rPr>
          <w:t>SLV - iShares Silver Trust</w:t>
        </w:r>
      </w:hyperlink>
      <w:r w:rsidR="00404909">
        <w:t xml:space="preserve"> (since 2006-04-21);</w:t>
      </w:r>
    </w:p>
    <w:p w14:paraId="04EC50DF" w14:textId="77777777" w:rsidR="00D75F07" w:rsidRDefault="00841FF5">
      <w:pPr>
        <w:numPr>
          <w:ilvl w:val="1"/>
          <w:numId w:val="6"/>
        </w:numPr>
      </w:pPr>
      <w:hyperlink r:id="rId18">
        <w:r w:rsidR="00404909">
          <w:rPr>
            <w:color w:val="1155CC"/>
            <w:u w:val="single"/>
          </w:rPr>
          <w:t xml:space="preserve">UUP - </w:t>
        </w:r>
        <w:proofErr w:type="spellStart"/>
        <w:r w:rsidR="00404909">
          <w:rPr>
            <w:color w:val="1155CC"/>
            <w:u w:val="single"/>
          </w:rPr>
          <w:t>Powershares</w:t>
        </w:r>
        <w:proofErr w:type="spellEnd"/>
        <w:r w:rsidR="00404909">
          <w:rPr>
            <w:color w:val="1155CC"/>
            <w:u w:val="single"/>
          </w:rPr>
          <w:t xml:space="preserve"> DB US Dollar Index Bullish Fund</w:t>
        </w:r>
      </w:hyperlink>
      <w:r w:rsidR="00404909">
        <w:t xml:space="preserve"> (since 2007-02-20);</w:t>
      </w:r>
    </w:p>
    <w:p w14:paraId="78E71F80" w14:textId="77777777" w:rsidR="00D75F07" w:rsidRDefault="00404909">
      <w:pPr>
        <w:numPr>
          <w:ilvl w:val="0"/>
          <w:numId w:val="6"/>
        </w:numPr>
      </w:pPr>
      <w:r>
        <w:t>Other:</w:t>
      </w:r>
    </w:p>
    <w:p w14:paraId="55B05CF2" w14:textId="77777777" w:rsidR="00D75F07" w:rsidRDefault="00841FF5">
      <w:pPr>
        <w:numPr>
          <w:ilvl w:val="1"/>
          <w:numId w:val="6"/>
        </w:numPr>
      </w:pPr>
      <w:hyperlink r:id="rId19">
        <w:r w:rsidR="00404909">
          <w:rPr>
            <w:color w:val="1155CC"/>
            <w:u w:val="single"/>
          </w:rPr>
          <w:t>EEM - iShares MSCI Emerging Markets ETF</w:t>
        </w:r>
      </w:hyperlink>
      <w:r w:rsidR="00404909">
        <w:t xml:space="preserve"> (since 2003-04-07);</w:t>
      </w:r>
    </w:p>
    <w:p w14:paraId="69EA9C09" w14:textId="77777777" w:rsidR="00D75F07" w:rsidRDefault="00841FF5">
      <w:pPr>
        <w:numPr>
          <w:ilvl w:val="1"/>
          <w:numId w:val="6"/>
        </w:numPr>
      </w:pPr>
      <w:hyperlink r:id="rId20">
        <w:r w:rsidR="00404909">
          <w:rPr>
            <w:color w:val="1155CC"/>
            <w:u w:val="single"/>
          </w:rPr>
          <w:t>XLU - Utilities Select Sector SPDR Fund</w:t>
        </w:r>
      </w:hyperlink>
      <w:r w:rsidR="00404909">
        <w:t xml:space="preserve"> (since 1998-12-22);</w:t>
      </w:r>
    </w:p>
    <w:p w14:paraId="6870E33A" w14:textId="77777777" w:rsidR="00D75F07" w:rsidRDefault="00841FF5">
      <w:pPr>
        <w:numPr>
          <w:ilvl w:val="1"/>
          <w:numId w:val="6"/>
        </w:numPr>
      </w:pPr>
      <w:hyperlink r:id="rId21">
        <w:r w:rsidR="00404909">
          <w:rPr>
            <w:color w:val="1155CC"/>
            <w:u w:val="single"/>
          </w:rPr>
          <w:t>TAIL - Cambria Tail Risk ETF</w:t>
        </w:r>
      </w:hyperlink>
      <w:r w:rsidR="00404909">
        <w:t xml:space="preserve"> (since 2017-04-06);</w:t>
      </w:r>
    </w:p>
    <w:p w14:paraId="4DCA1FBB" w14:textId="77777777" w:rsidR="00D75F07" w:rsidRDefault="00841FF5">
      <w:pPr>
        <w:numPr>
          <w:ilvl w:val="1"/>
          <w:numId w:val="6"/>
        </w:numPr>
      </w:pPr>
      <w:hyperlink r:id="rId22">
        <w:r w:rsidR="00404909">
          <w:rPr>
            <w:color w:val="1155CC"/>
            <w:u w:val="single"/>
          </w:rPr>
          <w:t xml:space="preserve">VXX - </w:t>
        </w:r>
        <w:proofErr w:type="spellStart"/>
        <w:r w:rsidR="00404909">
          <w:rPr>
            <w:color w:val="1155CC"/>
            <w:u w:val="single"/>
          </w:rPr>
          <w:t>iPath</w:t>
        </w:r>
        <w:proofErr w:type="spellEnd"/>
        <w:r w:rsidR="00404909">
          <w:rPr>
            <w:color w:val="1155CC"/>
            <w:u w:val="single"/>
          </w:rPr>
          <w:t xml:space="preserve"> Series B S&amp;P 500 VIX Short-Term Futures ETN</w:t>
        </w:r>
      </w:hyperlink>
      <w:r w:rsidR="00404909">
        <w:t xml:space="preserve"> (since 2004-03-26).</w:t>
      </w:r>
    </w:p>
    <w:p w14:paraId="5E3025D8" w14:textId="77777777" w:rsidR="00D75F07" w:rsidRDefault="00D75F07">
      <w:pPr>
        <w:jc w:val="center"/>
        <w:rPr>
          <w:sz w:val="18"/>
          <w:szCs w:val="18"/>
        </w:rPr>
      </w:pPr>
    </w:p>
    <w:p w14:paraId="7828B24C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8: Annualized Mean returns of different ETPs by years</w:t>
      </w:r>
    </w:p>
    <w:p w14:paraId="4C4CFDDA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32805480" wp14:editId="00367B8F">
            <wp:extent cx="7052400" cy="2082800"/>
            <wp:effectExtent l="0" t="0" r="0" b="0"/>
            <wp:docPr id="133" name="image1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B371EE" w14:textId="77777777" w:rsidR="00D75F07" w:rsidRDefault="00404909">
      <w:pPr>
        <w:pStyle w:val="Heading3"/>
        <w:jc w:val="both"/>
        <w:rPr>
          <w:sz w:val="28"/>
          <w:szCs w:val="28"/>
        </w:rPr>
      </w:pPr>
      <w:bookmarkStart w:id="4" w:name="_wf3rye2ym3yu" w:colFirst="0" w:colLast="0"/>
      <w:bookmarkEnd w:id="4"/>
      <w:r>
        <w:rPr>
          <w:sz w:val="28"/>
          <w:szCs w:val="28"/>
        </w:rPr>
        <w:t>Rolling correlation examples</w:t>
      </w:r>
    </w:p>
    <w:p w14:paraId="3F269A38" w14:textId="77777777" w:rsidR="00D75F07" w:rsidRDefault="00D75F07">
      <w:pPr>
        <w:pStyle w:val="Heading3"/>
        <w:jc w:val="both"/>
        <w:rPr>
          <w:sz w:val="18"/>
          <w:szCs w:val="18"/>
        </w:rPr>
      </w:pPr>
      <w:bookmarkStart w:id="5" w:name="_jya8f5c2cy4h" w:colFirst="0" w:colLast="0"/>
      <w:bookmarkEnd w:id="5"/>
    </w:p>
    <w:p w14:paraId="46F71941" w14:textId="77777777" w:rsidR="00D75F07" w:rsidRDefault="00404909">
      <w:pPr>
        <w:jc w:val="both"/>
      </w:pPr>
      <w:r>
        <w:t xml:space="preserve">As it can be seen in the Background section, </w:t>
      </w:r>
      <w:r>
        <w:rPr>
          <w:b/>
        </w:rPr>
        <w:t>not only the quality (correlation to the portfolio) but the cost of a hedge is also important</w:t>
      </w:r>
      <w:r>
        <w:t xml:space="preserve">. In this study, </w:t>
      </w:r>
      <w:r>
        <w:rPr>
          <w:b/>
        </w:rPr>
        <w:t>we use the subsequent x-day Sharpe ratio of the selected hedge as an inverse proxy of the cost</w:t>
      </w:r>
      <w:r>
        <w:t xml:space="preserve"> (that is, the higher the Sharpe ratio, the lower the cost of the selected hedge - or even can generate extra profit when the Sharpe ratio is positive).</w:t>
      </w:r>
    </w:p>
    <w:p w14:paraId="1090B453" w14:textId="77777777" w:rsidR="00D75F07" w:rsidRDefault="00D75F07">
      <w:pPr>
        <w:jc w:val="both"/>
      </w:pPr>
    </w:p>
    <w:p w14:paraId="1A62823C" w14:textId="77777777" w:rsidR="00D75F07" w:rsidRDefault="00404909">
      <w:pPr>
        <w:jc w:val="both"/>
      </w:pPr>
      <w:r>
        <w:t xml:space="preserve">In other words, </w:t>
      </w:r>
      <w:r>
        <w:rPr>
          <w:b/>
        </w:rPr>
        <w:t>we need to choose hedges for a given environment that have a negative correlation to the portfolio (SPY/QQQ/FAANG/etc.) and a Sharpe ratio as high as possible.</w:t>
      </w:r>
      <w:r>
        <w:t xml:space="preserve"> </w:t>
      </w:r>
      <w:r>
        <w:rPr>
          <w:b/>
        </w:rPr>
        <w:t>Or, we can short an ETF when its correlation is significantly positive and its Sharpe ratio is significantly negative</w:t>
      </w:r>
      <w:r>
        <w:t>.</w:t>
      </w:r>
    </w:p>
    <w:p w14:paraId="502B0679" w14:textId="77777777" w:rsidR="00D75F07" w:rsidRDefault="00D75F07">
      <w:pPr>
        <w:jc w:val="both"/>
      </w:pPr>
    </w:p>
    <w:p w14:paraId="1DA41F29" w14:textId="77777777" w:rsidR="00D75F07" w:rsidRDefault="00404909">
      <w:pPr>
        <w:jc w:val="both"/>
      </w:pPr>
      <w:r>
        <w:t>In this subsection, 5-day, 10-day and 1-month look-ahead periods will be used.</w:t>
      </w:r>
    </w:p>
    <w:p w14:paraId="3C4C1B25" w14:textId="77777777" w:rsidR="00D75F07" w:rsidRDefault="00D75F07">
      <w:pPr>
        <w:jc w:val="both"/>
      </w:pPr>
    </w:p>
    <w:p w14:paraId="4EBA3D92" w14:textId="77777777" w:rsidR="00D75F07" w:rsidRDefault="00404909">
      <w:pPr>
        <w:jc w:val="both"/>
      </w:pPr>
      <w:r>
        <w:t>Chart 7a-c shows some interesting</w:t>
      </w:r>
      <w:r>
        <w:rPr>
          <w:b/>
        </w:rPr>
        <w:t xml:space="preserve"> Sharpe ratio vs. correlation to the QQQ paths</w:t>
      </w:r>
      <w:r>
        <w:t xml:space="preserve"> (from SQ MSI = 10% to SQ MSI = 95%) using different hedges (TLT, UNG and VXX). Based on these charts, it can be concluded that:</w:t>
      </w:r>
    </w:p>
    <w:p w14:paraId="59D8EFCA" w14:textId="77777777" w:rsidR="00D75F07" w:rsidRDefault="00404909">
      <w:pPr>
        <w:numPr>
          <w:ilvl w:val="0"/>
          <w:numId w:val="9"/>
        </w:numPr>
        <w:jc w:val="both"/>
      </w:pPr>
      <w:r>
        <w:rPr>
          <w:b/>
        </w:rPr>
        <w:t>TLT is almost always a good hedge with negative correlation and positive Sharpe ratio</w:t>
      </w:r>
      <w:r>
        <w:t xml:space="preserve"> (can generate extra profit) - using 5-day look-ahead period;</w:t>
      </w:r>
    </w:p>
    <w:p w14:paraId="72740BD8" w14:textId="77777777" w:rsidR="00D75F07" w:rsidRDefault="00404909">
      <w:pPr>
        <w:numPr>
          <w:ilvl w:val="0"/>
          <w:numId w:val="9"/>
        </w:numPr>
        <w:jc w:val="both"/>
      </w:pPr>
      <w:r>
        <w:rPr>
          <w:b/>
        </w:rPr>
        <w:t>Short UNG can also be a good hedge, but in more than half of the cases, its correlation is not very significant</w:t>
      </w:r>
      <w:r>
        <w:t xml:space="preserve"> - using 10-day look-ahead period;</w:t>
      </w:r>
    </w:p>
    <w:p w14:paraId="68F75A26" w14:textId="77777777" w:rsidR="00D75F07" w:rsidRDefault="00404909">
      <w:pPr>
        <w:numPr>
          <w:ilvl w:val="0"/>
          <w:numId w:val="9"/>
        </w:numPr>
        <w:jc w:val="both"/>
      </w:pPr>
      <w:r>
        <w:rPr>
          <w:b/>
        </w:rPr>
        <w:t xml:space="preserve">Although long VXX almost always strongly negatively correlates to the QQQ (which is good), its Sharpe ratio is almost always </w:t>
      </w:r>
      <w:proofErr w:type="gramStart"/>
      <w:r>
        <w:rPr>
          <w:b/>
        </w:rPr>
        <w:t>negative  (</w:t>
      </w:r>
      <w:proofErr w:type="gramEnd"/>
      <w:r>
        <w:rPr>
          <w:b/>
        </w:rPr>
        <w:t>which is bad)</w:t>
      </w:r>
      <w:r>
        <w:t xml:space="preserve"> - using a 1-month look-ahead period;</w:t>
      </w:r>
    </w:p>
    <w:p w14:paraId="744A473B" w14:textId="77777777" w:rsidR="00D75F07" w:rsidRDefault="00404909">
      <w:pPr>
        <w:numPr>
          <w:ilvl w:val="0"/>
          <w:numId w:val="9"/>
        </w:numPr>
        <w:jc w:val="both"/>
        <w:rPr>
          <w:b/>
        </w:rPr>
      </w:pPr>
      <w:r>
        <w:rPr>
          <w:b/>
        </w:rPr>
        <w:t>But most importantly, these paths are ‘smooth’, non-oscillating, thus our ‘Rolling correlation vs. Sharpe Ratio’ method seems reliable to use.</w:t>
      </w:r>
    </w:p>
    <w:p w14:paraId="609BA40F" w14:textId="77777777" w:rsidR="00D75F07" w:rsidRDefault="00D75F07">
      <w:pPr>
        <w:jc w:val="both"/>
      </w:pPr>
    </w:p>
    <w:p w14:paraId="4DF1B694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7a: Path of TLT Sharpe ratio vs. correlation to QQQ - 5-day look-ahead period</w:t>
      </w:r>
    </w:p>
    <w:p w14:paraId="4CF63185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452ED43F" wp14:editId="309150AD">
            <wp:extent cx="7052400" cy="3746500"/>
            <wp:effectExtent l="0" t="0" r="0" b="0"/>
            <wp:docPr id="168" name="image1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74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D6886C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103C4731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7b: Path of UNG Sharpe ratio vs. correlation to QQQ - 10-day look-ahead period</w:t>
      </w:r>
    </w:p>
    <w:p w14:paraId="7383DFDD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51D0D244" wp14:editId="531F573D">
            <wp:extent cx="7052400" cy="3746500"/>
            <wp:effectExtent l="0" t="0" r="0" b="0"/>
            <wp:docPr id="110" name="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74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3022EA" w14:textId="77777777" w:rsidR="00D75F07" w:rsidRDefault="00D75F07">
      <w:pPr>
        <w:jc w:val="center"/>
        <w:rPr>
          <w:sz w:val="18"/>
          <w:szCs w:val="18"/>
        </w:rPr>
      </w:pPr>
    </w:p>
    <w:p w14:paraId="42B827C6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7c: Path of VXX Sharpe ratio vs. correlation to QQQ - 1-month look-ahead period</w:t>
      </w:r>
    </w:p>
    <w:p w14:paraId="2DDABCAF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7462A582" wp14:editId="07747114">
            <wp:extent cx="7052400" cy="3746500"/>
            <wp:effectExtent l="0" t="0" r="0" b="0"/>
            <wp:docPr id="128" name="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74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8552AD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04C18D2B" w14:textId="77777777" w:rsidR="00D75F07" w:rsidRDefault="00404909">
      <w:pPr>
        <w:pStyle w:val="Heading3"/>
        <w:jc w:val="both"/>
        <w:rPr>
          <w:sz w:val="28"/>
          <w:szCs w:val="28"/>
        </w:rPr>
      </w:pPr>
      <w:bookmarkStart w:id="6" w:name="_l9ioltv2f1a" w:colFirst="0" w:colLast="0"/>
      <w:bookmarkEnd w:id="6"/>
      <w:r>
        <w:rPr>
          <w:sz w:val="28"/>
          <w:szCs w:val="28"/>
        </w:rPr>
        <w:lastRenderedPageBreak/>
        <w:t>Case studies for SQ MSI in practice</w:t>
      </w:r>
    </w:p>
    <w:p w14:paraId="105167B1" w14:textId="77777777" w:rsidR="00D75F07" w:rsidRDefault="00D75F07"/>
    <w:p w14:paraId="1E03A634" w14:textId="77777777" w:rsidR="00D75F07" w:rsidRDefault="00404909">
      <w:pPr>
        <w:jc w:val="both"/>
      </w:pPr>
      <w:r>
        <w:t xml:space="preserve">After </w:t>
      </w:r>
      <w:r>
        <w:rPr>
          <w:b/>
        </w:rPr>
        <w:t>the method has been validated</w:t>
      </w:r>
      <w:r>
        <w:t xml:space="preserve">, let us see </w:t>
      </w:r>
      <w:r>
        <w:rPr>
          <w:b/>
        </w:rPr>
        <w:t>how it could work in practice</w:t>
      </w:r>
      <w:r>
        <w:t>. In this part of the study, we examine:</w:t>
      </w:r>
    </w:p>
    <w:p w14:paraId="0D0BD583" w14:textId="77777777" w:rsidR="00D75F07" w:rsidRDefault="00404909">
      <w:pPr>
        <w:numPr>
          <w:ilvl w:val="0"/>
          <w:numId w:val="10"/>
        </w:numPr>
        <w:jc w:val="both"/>
        <w:rPr>
          <w:b/>
        </w:rPr>
      </w:pPr>
      <w:r>
        <w:rPr>
          <w:b/>
        </w:rPr>
        <w:t xml:space="preserve">2 </w:t>
      </w:r>
      <w:proofErr w:type="spellStart"/>
      <w:r>
        <w:rPr>
          <w:b/>
        </w:rPr>
        <w:t>hedgeable</w:t>
      </w:r>
      <w:proofErr w:type="spellEnd"/>
      <w:r>
        <w:rPr>
          <w:b/>
        </w:rPr>
        <w:t xml:space="preserve"> ‘portfolio’: long SPY and long QQQ;</w:t>
      </w:r>
    </w:p>
    <w:p w14:paraId="1A0AB40C" w14:textId="77777777" w:rsidR="00D75F07" w:rsidRDefault="00404909">
      <w:pPr>
        <w:numPr>
          <w:ilvl w:val="0"/>
          <w:numId w:val="10"/>
        </w:numPr>
        <w:jc w:val="both"/>
        <w:rPr>
          <w:b/>
        </w:rPr>
      </w:pPr>
      <w:r>
        <w:rPr>
          <w:b/>
        </w:rPr>
        <w:t>3 different SQ MSI level: 25%, 60% and 85%;</w:t>
      </w:r>
    </w:p>
    <w:p w14:paraId="27A9DF57" w14:textId="77777777" w:rsidR="00D75F07" w:rsidRDefault="00404909">
      <w:pPr>
        <w:numPr>
          <w:ilvl w:val="0"/>
          <w:numId w:val="10"/>
        </w:numPr>
        <w:jc w:val="both"/>
        <w:rPr>
          <w:b/>
        </w:rPr>
      </w:pPr>
      <w:r>
        <w:rPr>
          <w:b/>
        </w:rPr>
        <w:t>3 different look-ahead periods: 5-day, 10-day and 1-month.</w:t>
      </w:r>
    </w:p>
    <w:p w14:paraId="3AE9E22D" w14:textId="77777777" w:rsidR="00D75F07" w:rsidRDefault="00D75F07">
      <w:pPr>
        <w:jc w:val="both"/>
      </w:pPr>
    </w:p>
    <w:p w14:paraId="39969C75" w14:textId="77777777" w:rsidR="00D75F07" w:rsidRDefault="00404909">
      <w:pPr>
        <w:jc w:val="both"/>
      </w:pPr>
      <w:r>
        <w:t xml:space="preserve">In each </w:t>
      </w:r>
      <w:r>
        <w:rPr>
          <w:b/>
        </w:rPr>
        <w:t>nine cases (3 SQ-MSI x 3 look-ahead)</w:t>
      </w:r>
      <w:r>
        <w:t>, at first, the</w:t>
      </w:r>
      <w:r>
        <w:rPr>
          <w:b/>
        </w:rPr>
        <w:t xml:space="preserve"> scatter plot of correlation vs. Sharpe ratio</w:t>
      </w:r>
      <w:r>
        <w:t xml:space="preserve"> can be seen (e.g. Chart 8a-b), which helps us to</w:t>
      </w:r>
      <w:r>
        <w:rPr>
          <w:b/>
        </w:rPr>
        <w:t xml:space="preserve"> select the most promising hedges</w:t>
      </w:r>
      <w:r>
        <w:t xml:space="preserve"> (significantly negative correlation and positive Sharpe ratio and/or significantly positive correlation and negative Sharpe ratio (short)). After that, a table can be found (e.g. Table 9) which contains </w:t>
      </w:r>
      <w:r>
        <w:rPr>
          <w:b/>
        </w:rPr>
        <w:t>not only the correlation coefficients for every hedge, but the beta compared to the SPY/QQQ</w:t>
      </w:r>
      <w:r>
        <w:t xml:space="preserve"> as well. Based on these beta, one can </w:t>
      </w:r>
      <w:r>
        <w:rPr>
          <w:b/>
        </w:rPr>
        <w:t>specify the desired weights</w:t>
      </w:r>
      <w:r>
        <w:t xml:space="preserve"> of the selected hedges. We do not recommend any exact method for this, but it would theoretically be possible to create a near-beta-neutral portfolio. However, this would have been an overly over-fitted system. </w:t>
      </w:r>
      <w:r>
        <w:rPr>
          <w:b/>
        </w:rPr>
        <w:t>Our recommended weights</w:t>
      </w:r>
      <w:r>
        <w:t xml:space="preserve"> in the penultimate column are discretionary determined based on the previous columns. Finally, a </w:t>
      </w:r>
      <w:r>
        <w:rPr>
          <w:b/>
        </w:rPr>
        <w:t>portfolio value chart</w:t>
      </w:r>
      <w:r>
        <w:t xml:space="preserve"> (e.g. Chart 9) and a</w:t>
      </w:r>
      <w:r>
        <w:rPr>
          <w:b/>
        </w:rPr>
        <w:t xml:space="preserve"> performance indicator table</w:t>
      </w:r>
      <w:r>
        <w:t xml:space="preserve"> (Table 10) can be found which shows how the performance of the </w:t>
      </w:r>
      <w:r>
        <w:rPr>
          <w:b/>
        </w:rPr>
        <w:t>portfolio (SPY/QQQ) with and without hedges (double leverage in this case in this study because of the weights of the hedges)</w:t>
      </w:r>
      <w:r>
        <w:t xml:space="preserve"> would have progressed in the days when the level of SQ MSI is between x-5% and x+5%. It is worth noting that these results may suffer from look-ahead and data-mining biases.</w:t>
      </w:r>
    </w:p>
    <w:p w14:paraId="61FD129D" w14:textId="77777777" w:rsidR="00D75F07" w:rsidRDefault="00D75F07">
      <w:pPr>
        <w:jc w:val="both"/>
      </w:pPr>
    </w:p>
    <w:p w14:paraId="44BFF045" w14:textId="77777777" w:rsidR="00D75F07" w:rsidRDefault="00404909">
      <w:pPr>
        <w:jc w:val="both"/>
      </w:pPr>
      <w:r>
        <w:t>In this subsection, we will not explain each case in detail, as we could describe nearly identical things in each one. Our main findings and thoughts are:</w:t>
      </w:r>
    </w:p>
    <w:p w14:paraId="12715BBD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As the SPY and the QQQ are highly correlated, the same hedges are appropriate for both in a given market environment.</w:t>
      </w:r>
    </w:p>
    <w:p w14:paraId="21D91EE1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TLT and UUP are good choices in almost all cases.</w:t>
      </w:r>
    </w:p>
    <w:p w14:paraId="21826094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Long VXX is only very rarely worth using as a hedge.</w:t>
      </w:r>
    </w:p>
    <w:p w14:paraId="21BFC225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Short gas (UNG) and/or short oil (USO) can also be used very often in the hedging basket.</w:t>
      </w:r>
    </w:p>
    <w:p w14:paraId="5487B7A4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Short copper (JJC) is a useful hedge when SQ MSI is high.</w:t>
      </w:r>
    </w:p>
    <w:p w14:paraId="759D033D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The beta of SHY is too low to be worth dealing with this ETF.</w:t>
      </w:r>
    </w:p>
    <w:p w14:paraId="2392343F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TAIL seems like a good choice in many cases, but it is worth being careful, as there is very little historical data available so far (TAIL is available only from 2017).</w:t>
      </w:r>
    </w:p>
    <w:p w14:paraId="3AEB1CBE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In all the nine cases, using hedge can improve both the Sharpe and the MAR ratios (it does not depend on the leverage!).</w:t>
      </w:r>
    </w:p>
    <w:p w14:paraId="68BA8647" w14:textId="77777777" w:rsidR="00D75F07" w:rsidRDefault="00D75F07">
      <w:pPr>
        <w:jc w:val="both"/>
      </w:pPr>
    </w:p>
    <w:p w14:paraId="56BE4927" w14:textId="77777777" w:rsidR="00D75F07" w:rsidRDefault="00404909">
      <w:pPr>
        <w:jc w:val="both"/>
      </w:pPr>
      <w:r>
        <w:t xml:space="preserve">An </w:t>
      </w:r>
      <w:r>
        <w:rPr>
          <w:b/>
        </w:rPr>
        <w:t xml:space="preserve">online </w:t>
      </w:r>
      <w:proofErr w:type="spellStart"/>
      <w:r>
        <w:rPr>
          <w:b/>
        </w:rPr>
        <w:t>GoogleSheet</w:t>
      </w:r>
      <w:proofErr w:type="spellEnd"/>
      <w:r>
        <w:rPr>
          <w:b/>
        </w:rPr>
        <w:t xml:space="preserve"> version for this </w:t>
      </w:r>
      <w:proofErr w:type="spellStart"/>
      <w:r>
        <w:rPr>
          <w:b/>
        </w:rPr>
        <w:t>SnifferQuant</w:t>
      </w:r>
      <w:proofErr w:type="spellEnd"/>
      <w:r>
        <w:rPr>
          <w:b/>
        </w:rPr>
        <w:t xml:space="preserve"> Hedge-Selection Method</w:t>
      </w:r>
      <w:r>
        <w:t xml:space="preserve"> can be found </w:t>
      </w:r>
      <w:hyperlink r:id="rId27">
        <w:r>
          <w:rPr>
            <w:b/>
            <w:color w:val="1155CC"/>
            <w:u w:val="single"/>
          </w:rPr>
          <w:t>here</w:t>
        </w:r>
      </w:hyperlink>
      <w:r>
        <w:t xml:space="preserve">, where the </w:t>
      </w:r>
      <w:r>
        <w:rPr>
          <w:b/>
        </w:rPr>
        <w:t>SQ MSI level</w:t>
      </w:r>
      <w:r>
        <w:t xml:space="preserve"> (cell ‘B1’), the</w:t>
      </w:r>
      <w:r>
        <w:rPr>
          <w:b/>
        </w:rPr>
        <w:t xml:space="preserve"> look-ahead period </w:t>
      </w:r>
      <w:r>
        <w:t xml:space="preserve">(cell ‘E1’) and the </w:t>
      </w:r>
      <w:r>
        <w:rPr>
          <w:b/>
        </w:rPr>
        <w:t>discretionary hedge weights</w:t>
      </w:r>
      <w:r>
        <w:t xml:space="preserve"> (cells ‘G24:G39’) should be changed.</w:t>
      </w:r>
    </w:p>
    <w:p w14:paraId="5D094491" w14:textId="77777777" w:rsidR="00D75F07" w:rsidRDefault="00D75F07">
      <w:pPr>
        <w:jc w:val="both"/>
      </w:pPr>
    </w:p>
    <w:p w14:paraId="479861FE" w14:textId="77777777" w:rsidR="00D75F07" w:rsidRDefault="00404909">
      <w:pPr>
        <w:jc w:val="both"/>
        <w:rPr>
          <w:b/>
        </w:rPr>
      </w:pPr>
      <w:r>
        <w:rPr>
          <w:b/>
        </w:rPr>
        <w:t xml:space="preserve">In summary, we strongly believe that this </w:t>
      </w:r>
      <w:proofErr w:type="spellStart"/>
      <w:r>
        <w:rPr>
          <w:b/>
        </w:rPr>
        <w:t>SnifferQuant</w:t>
      </w:r>
      <w:proofErr w:type="spellEnd"/>
      <w:r>
        <w:rPr>
          <w:b/>
        </w:rPr>
        <w:t xml:space="preserve"> Hedge-Selection Method can be a useful tool in all market situations. It helps us to select the expectedly most effective hedges which can even generate extra profit as well (in addition to risk reduction).</w:t>
      </w:r>
    </w:p>
    <w:p w14:paraId="3BF415A8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1DEF9358" w14:textId="77777777" w:rsidR="00D75F07" w:rsidRDefault="00404909">
      <w:pPr>
        <w:jc w:val="both"/>
        <w:rPr>
          <w:b/>
          <w:color w:val="38761D"/>
          <w:sz w:val="20"/>
          <w:szCs w:val="20"/>
        </w:rPr>
      </w:pPr>
      <w:r>
        <w:rPr>
          <w:b/>
          <w:color w:val="38761D"/>
          <w:sz w:val="24"/>
          <w:szCs w:val="24"/>
        </w:rPr>
        <w:lastRenderedPageBreak/>
        <w:t>SQ MSI: 25%, 5-day look-ahead period</w:t>
      </w:r>
    </w:p>
    <w:p w14:paraId="0AF44B1F" w14:textId="77777777" w:rsidR="00D75F07" w:rsidRDefault="00D75F07">
      <w:pPr>
        <w:jc w:val="center"/>
        <w:rPr>
          <w:sz w:val="18"/>
          <w:szCs w:val="18"/>
        </w:rPr>
      </w:pPr>
    </w:p>
    <w:p w14:paraId="58F2A7EC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8a: Correlation vs. Sharpe ratio SQ MSI: 25%, using SPY - 5-day look-ahead period</w:t>
      </w:r>
    </w:p>
    <w:p w14:paraId="7020E365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1922C1B1" wp14:editId="656D6A55">
            <wp:extent cx="7052400" cy="4203700"/>
            <wp:effectExtent l="0" t="0" r="0" b="0"/>
            <wp:docPr id="120" name="image1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C091A7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8b: Correlation vs. Sharpe ratio SQ MSI: 25%, using QQQ - 5-day look-ahead period</w:t>
      </w:r>
    </w:p>
    <w:p w14:paraId="4EA0862A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31952036" wp14:editId="41018F95">
            <wp:extent cx="7052400" cy="4203700"/>
            <wp:effectExtent l="0" t="0" r="0" b="0"/>
            <wp:docPr id="91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47D292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9: Correlation, beta, Sharpe ratio and recommended weights of hedges - SQ MSI: 25% - 5-day look-ahead period</w:t>
      </w:r>
    </w:p>
    <w:p w14:paraId="016618AA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73EE2A68" wp14:editId="12DDCB79">
            <wp:extent cx="7052400" cy="3657600"/>
            <wp:effectExtent l="0" t="0" r="0" b="0"/>
            <wp:docPr id="52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CCDB58" w14:textId="77777777" w:rsidR="00D75F07" w:rsidRDefault="00D75F07">
      <w:pPr>
        <w:jc w:val="center"/>
        <w:rPr>
          <w:sz w:val="18"/>
          <w:szCs w:val="18"/>
        </w:rPr>
      </w:pPr>
    </w:p>
    <w:p w14:paraId="0207918C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9: PV - SQ MSI: 25% - 5-day look-ahead period</w:t>
      </w:r>
    </w:p>
    <w:p w14:paraId="776746E0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61D3A5D0" wp14:editId="0F8D19FF">
            <wp:extent cx="7052400" cy="4191000"/>
            <wp:effectExtent l="0" t="0" r="0" b="0"/>
            <wp:docPr id="179" name="image1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170739" w14:textId="77777777" w:rsidR="00D75F07" w:rsidRDefault="00D75F07">
      <w:pPr>
        <w:jc w:val="center"/>
        <w:rPr>
          <w:sz w:val="18"/>
          <w:szCs w:val="18"/>
        </w:rPr>
      </w:pPr>
    </w:p>
    <w:p w14:paraId="1E7CEC40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39802539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10: Performance indicators with and without hedges - SQ MSI: 25% - 5-day look-ahead period</w:t>
      </w:r>
    </w:p>
    <w:p w14:paraId="0420CA9C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332B01A9" wp14:editId="13EB88D0">
            <wp:extent cx="5200650" cy="1495425"/>
            <wp:effectExtent l="0" t="0" r="0" b="0"/>
            <wp:docPr id="221" name="image2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098069" w14:textId="77777777" w:rsidR="00D75F07" w:rsidRDefault="00D75F07">
      <w:pPr>
        <w:jc w:val="center"/>
        <w:rPr>
          <w:sz w:val="18"/>
          <w:szCs w:val="18"/>
        </w:rPr>
      </w:pPr>
    </w:p>
    <w:p w14:paraId="7C902FC1" w14:textId="77777777" w:rsidR="00D75F07" w:rsidRDefault="00D75F07">
      <w:pPr>
        <w:jc w:val="both"/>
        <w:rPr>
          <w:b/>
          <w:color w:val="38761D"/>
          <w:sz w:val="24"/>
          <w:szCs w:val="24"/>
        </w:rPr>
      </w:pPr>
    </w:p>
    <w:p w14:paraId="428509CE" w14:textId="77777777" w:rsidR="00D75F07" w:rsidRDefault="00D75F07">
      <w:pPr>
        <w:jc w:val="both"/>
        <w:rPr>
          <w:b/>
          <w:color w:val="38761D"/>
          <w:sz w:val="24"/>
          <w:szCs w:val="24"/>
        </w:rPr>
      </w:pPr>
    </w:p>
    <w:p w14:paraId="04D60612" w14:textId="77777777" w:rsidR="00D75F07" w:rsidRDefault="00404909">
      <w:pPr>
        <w:jc w:val="both"/>
        <w:rPr>
          <w:sz w:val="18"/>
          <w:szCs w:val="18"/>
        </w:rPr>
      </w:pPr>
      <w:r>
        <w:rPr>
          <w:b/>
          <w:color w:val="38761D"/>
          <w:sz w:val="24"/>
          <w:szCs w:val="24"/>
        </w:rPr>
        <w:t>SQ MSI: 60%, 5-day look-ahead period</w:t>
      </w:r>
    </w:p>
    <w:p w14:paraId="21B3990A" w14:textId="77777777" w:rsidR="00D75F07" w:rsidRDefault="00D75F07">
      <w:pPr>
        <w:jc w:val="center"/>
        <w:rPr>
          <w:sz w:val="18"/>
          <w:szCs w:val="18"/>
        </w:rPr>
      </w:pPr>
    </w:p>
    <w:p w14:paraId="0202C677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10a: Correlation vs. Sharpe ratio SQ MSI: 60%, using SPY - 5-day look-ahead period</w:t>
      </w:r>
    </w:p>
    <w:p w14:paraId="3F846EB0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4DEC53ED" wp14:editId="7E5C860F">
            <wp:extent cx="7052400" cy="4203700"/>
            <wp:effectExtent l="0" t="0" r="0" b="0"/>
            <wp:docPr id="203" name="image2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6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973D44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031636B1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10b: Correlation vs. Sharpe ratio SQ MSI: 60%, using QQQ - 5-day look-ahead period</w:t>
      </w:r>
    </w:p>
    <w:p w14:paraId="063CE7BD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3E8FDAEB" wp14:editId="2FCE51BF">
            <wp:extent cx="7052400" cy="4203700"/>
            <wp:effectExtent l="0" t="0" r="0" b="0"/>
            <wp:docPr id="71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93036B" w14:textId="77777777" w:rsidR="00D75F07" w:rsidRDefault="00D75F07">
      <w:pPr>
        <w:jc w:val="center"/>
        <w:rPr>
          <w:sz w:val="18"/>
          <w:szCs w:val="18"/>
        </w:rPr>
      </w:pPr>
    </w:p>
    <w:p w14:paraId="47F714D3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11: Correlation, beta, Sharpe ratio and recommended weights of hedges - SQ MSI: 60% - 5-day look-ahead period</w:t>
      </w:r>
    </w:p>
    <w:p w14:paraId="6CE6C1F5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1922E734" wp14:editId="6B0C6F0F">
            <wp:extent cx="7052400" cy="3657600"/>
            <wp:effectExtent l="0" t="0" r="0" b="0"/>
            <wp:docPr id="217" name="image2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7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ABD601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3A3DC3E6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11: PV - SQ MSI: 60% - 5-day look-ahead period</w:t>
      </w:r>
    </w:p>
    <w:p w14:paraId="6E9118CE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570D82FE" wp14:editId="3C671D85">
            <wp:extent cx="7052400" cy="4216400"/>
            <wp:effectExtent l="0" t="0" r="0" b="0"/>
            <wp:docPr id="41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719743" w14:textId="77777777" w:rsidR="00D75F07" w:rsidRDefault="00D75F07">
      <w:pPr>
        <w:jc w:val="center"/>
        <w:rPr>
          <w:sz w:val="18"/>
          <w:szCs w:val="18"/>
        </w:rPr>
      </w:pPr>
    </w:p>
    <w:p w14:paraId="53C4CC11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12: Performance indicators with and without hedges - SQ MSI: 60% - 5-day look-ahead period</w:t>
      </w:r>
    </w:p>
    <w:p w14:paraId="3FD58324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5AE44996" wp14:editId="02E7EA45">
            <wp:extent cx="5200650" cy="1495425"/>
            <wp:effectExtent l="0" t="0" r="0" b="0"/>
            <wp:docPr id="72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14C32F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2090CA60" w14:textId="77777777" w:rsidR="00D75F07" w:rsidRDefault="00404909">
      <w:pPr>
        <w:jc w:val="both"/>
        <w:rPr>
          <w:b/>
          <w:color w:val="38761D"/>
          <w:sz w:val="24"/>
          <w:szCs w:val="24"/>
        </w:rPr>
      </w:pPr>
      <w:r>
        <w:rPr>
          <w:b/>
          <w:color w:val="38761D"/>
          <w:sz w:val="24"/>
          <w:szCs w:val="24"/>
        </w:rPr>
        <w:lastRenderedPageBreak/>
        <w:t>SQ MSI: 85%, 5-day look-ahead period</w:t>
      </w:r>
    </w:p>
    <w:p w14:paraId="6DB098B8" w14:textId="77777777" w:rsidR="00D75F07" w:rsidRDefault="00D75F07">
      <w:pPr>
        <w:jc w:val="both"/>
        <w:rPr>
          <w:b/>
          <w:color w:val="38761D"/>
          <w:sz w:val="24"/>
          <w:szCs w:val="24"/>
        </w:rPr>
      </w:pPr>
    </w:p>
    <w:p w14:paraId="2ADFAE80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12a: Correlation vs. Sharpe ratio SQ MSI: 85%, using SPY - 5-day look-ahead period</w:t>
      </w:r>
    </w:p>
    <w:p w14:paraId="62362E74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16130653" wp14:editId="72E66CE7">
            <wp:extent cx="7052400" cy="4203700"/>
            <wp:effectExtent l="0" t="0" r="0" b="0"/>
            <wp:docPr id="75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A0FCB2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12b: Correlation vs. Sharpe ratio SQ MSI: 85%, using QQQ - 5-day look-ahead period</w:t>
      </w:r>
    </w:p>
    <w:p w14:paraId="620B095C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0CECC718" wp14:editId="729E89DB">
            <wp:extent cx="7052400" cy="4203700"/>
            <wp:effectExtent l="0" t="0" r="0" b="0"/>
            <wp:docPr id="1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730050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13: Correlation, beta, Sharpe ratio and recommended weights of hedges - SQ MSI: 85% - 5-day look-ahead period</w:t>
      </w:r>
    </w:p>
    <w:p w14:paraId="42DFDA80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471B81DB" wp14:editId="05518C99">
            <wp:extent cx="7052400" cy="3657600"/>
            <wp:effectExtent l="0" t="0" r="0" b="0"/>
            <wp:docPr id="87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CE2762" w14:textId="77777777" w:rsidR="00D75F07" w:rsidRDefault="00D75F07">
      <w:pPr>
        <w:jc w:val="center"/>
        <w:rPr>
          <w:sz w:val="18"/>
          <w:szCs w:val="18"/>
        </w:rPr>
      </w:pPr>
    </w:p>
    <w:p w14:paraId="1FC9AE00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13: PV - SQ MSI: 85% - 5-day look-ahead period</w:t>
      </w:r>
    </w:p>
    <w:p w14:paraId="1724EFD9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248B7B7C" wp14:editId="160D1CD7">
            <wp:extent cx="7052400" cy="4216400"/>
            <wp:effectExtent l="0" t="0" r="0" b="0"/>
            <wp:docPr id="56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1213FF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7396185E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14: Performance indicators with and without hedges - SQ MSI: 85% - 5-day look-ahead period</w:t>
      </w:r>
    </w:p>
    <w:p w14:paraId="6031BC5E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101820F3" wp14:editId="08B4D0A4">
            <wp:extent cx="5200650" cy="1495425"/>
            <wp:effectExtent l="0" t="0" r="0" b="0"/>
            <wp:docPr id="44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14437A" w14:textId="77777777" w:rsidR="00D75F07" w:rsidRDefault="00D75F07">
      <w:pPr>
        <w:jc w:val="center"/>
        <w:rPr>
          <w:sz w:val="18"/>
          <w:szCs w:val="18"/>
        </w:rPr>
      </w:pPr>
    </w:p>
    <w:p w14:paraId="776D9DA5" w14:textId="77777777" w:rsidR="00D75F07" w:rsidRDefault="00D75F07">
      <w:pPr>
        <w:jc w:val="center"/>
        <w:rPr>
          <w:sz w:val="18"/>
          <w:szCs w:val="18"/>
        </w:rPr>
      </w:pPr>
    </w:p>
    <w:p w14:paraId="4345CCBC" w14:textId="77777777" w:rsidR="00D75F07" w:rsidRDefault="00D75F07">
      <w:pPr>
        <w:jc w:val="center"/>
        <w:rPr>
          <w:sz w:val="18"/>
          <w:szCs w:val="18"/>
        </w:rPr>
      </w:pPr>
    </w:p>
    <w:p w14:paraId="67CC23A2" w14:textId="77777777" w:rsidR="00D75F07" w:rsidRDefault="00404909">
      <w:pPr>
        <w:jc w:val="both"/>
        <w:rPr>
          <w:b/>
          <w:color w:val="38761D"/>
          <w:sz w:val="24"/>
          <w:szCs w:val="24"/>
        </w:rPr>
      </w:pPr>
      <w:r>
        <w:rPr>
          <w:b/>
          <w:color w:val="38761D"/>
          <w:sz w:val="24"/>
          <w:szCs w:val="24"/>
        </w:rPr>
        <w:t>SQ MSI: 25%, 10-day look-ahead period</w:t>
      </w:r>
    </w:p>
    <w:p w14:paraId="1D7FE7CD" w14:textId="77777777" w:rsidR="00D75F07" w:rsidRDefault="00D75F07">
      <w:pPr>
        <w:jc w:val="both"/>
        <w:rPr>
          <w:b/>
          <w:color w:val="38761D"/>
          <w:sz w:val="24"/>
          <w:szCs w:val="24"/>
        </w:rPr>
      </w:pPr>
    </w:p>
    <w:p w14:paraId="4EEC772B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14a: Correlation vs. Sharpe ratio SQ MSI: 25%, using SPY - 10-day look-ahead period</w:t>
      </w:r>
    </w:p>
    <w:p w14:paraId="60A48256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1BB4C633" wp14:editId="012442DC">
            <wp:extent cx="7052400" cy="4203700"/>
            <wp:effectExtent l="0" t="0" r="0" b="0"/>
            <wp:docPr id="81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2915A7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1D307D8A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14b: Correlation vs. Sharpe ratio SQ MSI: 25%, using QQQ - 10-day look-ahead period</w:t>
      </w:r>
    </w:p>
    <w:p w14:paraId="684CD0C0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6725AB77" wp14:editId="2B2FE141">
            <wp:extent cx="7052400" cy="4203700"/>
            <wp:effectExtent l="0" t="0" r="0" b="0"/>
            <wp:docPr id="30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F149BD" w14:textId="77777777" w:rsidR="00D75F07" w:rsidRDefault="00D75F07">
      <w:pPr>
        <w:jc w:val="center"/>
        <w:rPr>
          <w:sz w:val="18"/>
          <w:szCs w:val="18"/>
        </w:rPr>
      </w:pPr>
    </w:p>
    <w:p w14:paraId="74A6B864" w14:textId="77777777" w:rsidR="00D75F07" w:rsidRDefault="00D75F07">
      <w:pPr>
        <w:jc w:val="center"/>
        <w:rPr>
          <w:sz w:val="18"/>
          <w:szCs w:val="18"/>
        </w:rPr>
      </w:pPr>
    </w:p>
    <w:p w14:paraId="3AFCC146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15: Correlation, beta, Sharpe ratio and recommended weights of hedges - SQ MSI: 25% - 10-day look-ahead period</w:t>
      </w:r>
    </w:p>
    <w:p w14:paraId="0D8F7878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66E14491" wp14:editId="6B10533A">
            <wp:extent cx="7052400" cy="3657600"/>
            <wp:effectExtent l="0" t="0" r="0" b="0"/>
            <wp:docPr id="42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0D457F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1C2FF1EE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15: PV - SQ MSI: 25% - 10-day look-ahead period</w:t>
      </w:r>
    </w:p>
    <w:p w14:paraId="7660F44D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6C55CF21" wp14:editId="32F816F5">
            <wp:extent cx="7052400" cy="4216400"/>
            <wp:effectExtent l="0" t="0" r="0" b="0"/>
            <wp:docPr id="204" name="image2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3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891AB3" w14:textId="77777777" w:rsidR="00D75F07" w:rsidRDefault="00D75F07">
      <w:pPr>
        <w:jc w:val="center"/>
        <w:rPr>
          <w:sz w:val="18"/>
          <w:szCs w:val="18"/>
        </w:rPr>
      </w:pPr>
    </w:p>
    <w:p w14:paraId="26D1E7B9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16: Performance indicators with and without hedges - SQ MSI: 25% - 10-day look-ahead period</w:t>
      </w:r>
    </w:p>
    <w:p w14:paraId="5DB35B81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7295731E" wp14:editId="6A6E35FD">
            <wp:extent cx="5200650" cy="1495425"/>
            <wp:effectExtent l="0" t="0" r="0" b="0"/>
            <wp:docPr id="88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CA4B27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1FB1ECE3" w14:textId="77777777" w:rsidR="00D75F07" w:rsidRDefault="00404909">
      <w:pPr>
        <w:jc w:val="both"/>
        <w:rPr>
          <w:sz w:val="18"/>
          <w:szCs w:val="18"/>
        </w:rPr>
      </w:pPr>
      <w:r>
        <w:rPr>
          <w:b/>
          <w:color w:val="38761D"/>
          <w:sz w:val="24"/>
          <w:szCs w:val="24"/>
        </w:rPr>
        <w:lastRenderedPageBreak/>
        <w:t>SQ MSI: 60%, 10-day look-ahead period</w:t>
      </w:r>
    </w:p>
    <w:p w14:paraId="07D99284" w14:textId="77777777" w:rsidR="00D75F07" w:rsidRDefault="00D75F07">
      <w:pPr>
        <w:jc w:val="both"/>
        <w:rPr>
          <w:sz w:val="18"/>
          <w:szCs w:val="18"/>
        </w:rPr>
      </w:pPr>
    </w:p>
    <w:p w14:paraId="40D68175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16a: Correlation vs. Sharpe ratio SQ MSI: 60%, using SPY - 10-day look-ahead period</w:t>
      </w:r>
    </w:p>
    <w:p w14:paraId="0031457E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211A20ED" wp14:editId="026DDACD">
            <wp:extent cx="7052400" cy="4203700"/>
            <wp:effectExtent l="0" t="0" r="0" b="0"/>
            <wp:docPr id="2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439A08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16b: Correlation vs. Sharpe ratio SQ MSI: 60%, using QQQ - 10-day look-ahead period</w:t>
      </w:r>
    </w:p>
    <w:p w14:paraId="25792C01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4B6F8E83" wp14:editId="11BB1F99">
            <wp:extent cx="7052400" cy="4203700"/>
            <wp:effectExtent l="0" t="0" r="0" b="0"/>
            <wp:docPr id="79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99F768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17: Correlation, beta, Sharpe ratio and recommended weights of hedges - SQ MSI: 60% - 10-day look-ahead period</w:t>
      </w:r>
    </w:p>
    <w:p w14:paraId="11B530D8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52B7D931" wp14:editId="721417DF">
            <wp:extent cx="7052400" cy="3670300"/>
            <wp:effectExtent l="0" t="0" r="0" b="0"/>
            <wp:docPr id="48" name="image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1F7CB2" w14:textId="77777777" w:rsidR="00D75F07" w:rsidRDefault="00D75F07">
      <w:pPr>
        <w:jc w:val="center"/>
        <w:rPr>
          <w:sz w:val="18"/>
          <w:szCs w:val="18"/>
        </w:rPr>
      </w:pPr>
    </w:p>
    <w:p w14:paraId="25FFBBA4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17: PV - SQ MSI: 60% - 10-day look-ahead period</w:t>
      </w:r>
    </w:p>
    <w:p w14:paraId="5ECE4989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07E4B582" wp14:editId="6C13FA7D">
            <wp:extent cx="7052400" cy="4216400"/>
            <wp:effectExtent l="0" t="0" r="0" b="0"/>
            <wp:docPr id="233" name="image2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9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E7E722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1D9ADF71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18: Performance indicators with and without hedges - SQ MSI: 60% - 10-day look-ahead period</w:t>
      </w:r>
    </w:p>
    <w:p w14:paraId="597AAE97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557D8B70" wp14:editId="4C5B359B">
            <wp:extent cx="5200650" cy="1495425"/>
            <wp:effectExtent l="0" t="0" r="0" b="0"/>
            <wp:docPr id="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88CE11" w14:textId="77777777" w:rsidR="00D75F07" w:rsidRDefault="00D75F07">
      <w:pPr>
        <w:jc w:val="center"/>
        <w:rPr>
          <w:sz w:val="18"/>
          <w:szCs w:val="18"/>
        </w:rPr>
      </w:pPr>
    </w:p>
    <w:p w14:paraId="65563BA3" w14:textId="77777777" w:rsidR="00D75F07" w:rsidRDefault="00D75F07">
      <w:pPr>
        <w:jc w:val="center"/>
        <w:rPr>
          <w:sz w:val="18"/>
          <w:szCs w:val="18"/>
        </w:rPr>
      </w:pPr>
    </w:p>
    <w:p w14:paraId="383AD7C6" w14:textId="77777777" w:rsidR="00D75F07" w:rsidRDefault="00D75F07">
      <w:pPr>
        <w:jc w:val="center"/>
        <w:rPr>
          <w:sz w:val="18"/>
          <w:szCs w:val="18"/>
        </w:rPr>
      </w:pPr>
    </w:p>
    <w:p w14:paraId="44748E90" w14:textId="77777777" w:rsidR="00D75F07" w:rsidRDefault="00D75F07">
      <w:pPr>
        <w:jc w:val="center"/>
        <w:rPr>
          <w:sz w:val="18"/>
          <w:szCs w:val="18"/>
        </w:rPr>
      </w:pPr>
    </w:p>
    <w:p w14:paraId="468DF6AA" w14:textId="77777777" w:rsidR="00D75F07" w:rsidRDefault="00404909">
      <w:pPr>
        <w:jc w:val="both"/>
        <w:rPr>
          <w:b/>
          <w:color w:val="38761D"/>
          <w:sz w:val="24"/>
          <w:szCs w:val="24"/>
        </w:rPr>
      </w:pPr>
      <w:r>
        <w:rPr>
          <w:b/>
          <w:color w:val="38761D"/>
          <w:sz w:val="24"/>
          <w:szCs w:val="24"/>
        </w:rPr>
        <w:t>SQ MSI: 85%, 10-day look-ahead period</w:t>
      </w:r>
    </w:p>
    <w:p w14:paraId="4F3CB51E" w14:textId="77777777" w:rsidR="00D75F07" w:rsidRDefault="00D75F07">
      <w:pPr>
        <w:jc w:val="both"/>
        <w:rPr>
          <w:b/>
          <w:color w:val="38761D"/>
          <w:sz w:val="24"/>
          <w:szCs w:val="24"/>
        </w:rPr>
      </w:pPr>
    </w:p>
    <w:p w14:paraId="66FD262C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18a: Correlation vs. Sharpe ratio SQ MSI: 85%, using SPY - 10-day look-ahead period</w:t>
      </w:r>
    </w:p>
    <w:p w14:paraId="18AE63DE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6224670E" wp14:editId="29926592">
            <wp:extent cx="7052400" cy="4203700"/>
            <wp:effectExtent l="0" t="0" r="0" b="0"/>
            <wp:docPr id="62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39F51E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4B7D65F3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18b: Correlation vs. Sharpe ratio SQ MSI: 85%, using QQQ - 10-day look-ahead period</w:t>
      </w:r>
    </w:p>
    <w:p w14:paraId="24BD0467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704F5193" wp14:editId="2DF975CE">
            <wp:extent cx="7052400" cy="4203700"/>
            <wp:effectExtent l="0" t="0" r="0" b="0"/>
            <wp:docPr id="127" name="image1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8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5EB731" w14:textId="77777777" w:rsidR="00D75F07" w:rsidRDefault="00D75F07">
      <w:pPr>
        <w:jc w:val="center"/>
        <w:rPr>
          <w:sz w:val="18"/>
          <w:szCs w:val="18"/>
        </w:rPr>
      </w:pPr>
    </w:p>
    <w:p w14:paraId="06A68921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19: Correlation, beta, Sharpe ratio and recommended weights of hedges - SQ MSI: 85% - 10-day look-ahead period</w:t>
      </w:r>
    </w:p>
    <w:p w14:paraId="3DE75E8E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56292DFC" wp14:editId="04D607B3">
            <wp:extent cx="7052400" cy="3670300"/>
            <wp:effectExtent l="0" t="0" r="0" b="0"/>
            <wp:docPr id="161" name="image1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7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233475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11A056FB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19: PV - SQ MSI: 85% - 10-day look-ahead period</w:t>
      </w:r>
    </w:p>
    <w:p w14:paraId="4F359301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21F207C4" wp14:editId="5D20A459">
            <wp:extent cx="7052400" cy="4216400"/>
            <wp:effectExtent l="0" t="0" r="0" b="0"/>
            <wp:docPr id="167" name="image1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3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557391" w14:textId="77777777" w:rsidR="00D75F07" w:rsidRDefault="00D75F07">
      <w:pPr>
        <w:jc w:val="center"/>
        <w:rPr>
          <w:sz w:val="18"/>
          <w:szCs w:val="18"/>
        </w:rPr>
      </w:pPr>
    </w:p>
    <w:p w14:paraId="4A3F5239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20: Performance indicators with and without hedges - SQ MSI: 85% - 10-day look-ahead period</w:t>
      </w:r>
    </w:p>
    <w:p w14:paraId="7A4238A8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484DC25F" wp14:editId="6A26A0C2">
            <wp:extent cx="5200650" cy="1495425"/>
            <wp:effectExtent l="0" t="0" r="0" b="0"/>
            <wp:docPr id="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849112" w14:textId="77777777" w:rsidR="00D75F07" w:rsidRDefault="00D75F07">
      <w:pPr>
        <w:jc w:val="center"/>
        <w:rPr>
          <w:sz w:val="18"/>
          <w:szCs w:val="18"/>
        </w:rPr>
      </w:pPr>
    </w:p>
    <w:p w14:paraId="4DBE4C1C" w14:textId="77777777" w:rsidR="00D75F07" w:rsidRDefault="00D75F07">
      <w:pPr>
        <w:jc w:val="center"/>
        <w:rPr>
          <w:sz w:val="18"/>
          <w:szCs w:val="18"/>
        </w:rPr>
      </w:pPr>
    </w:p>
    <w:p w14:paraId="187AAF95" w14:textId="77777777" w:rsidR="00D75F07" w:rsidRDefault="00404909">
      <w:pPr>
        <w:jc w:val="both"/>
        <w:rPr>
          <w:b/>
          <w:color w:val="38761D"/>
          <w:sz w:val="24"/>
          <w:szCs w:val="24"/>
        </w:rPr>
      </w:pPr>
      <w:r>
        <w:br w:type="page"/>
      </w:r>
    </w:p>
    <w:p w14:paraId="35AE9FB3" w14:textId="77777777" w:rsidR="00D75F07" w:rsidRDefault="00404909">
      <w:pPr>
        <w:jc w:val="both"/>
        <w:rPr>
          <w:sz w:val="18"/>
          <w:szCs w:val="18"/>
        </w:rPr>
      </w:pPr>
      <w:r>
        <w:rPr>
          <w:b/>
          <w:color w:val="38761D"/>
          <w:sz w:val="24"/>
          <w:szCs w:val="24"/>
        </w:rPr>
        <w:lastRenderedPageBreak/>
        <w:t>SQ MSI: 25%, 1-month look-ahead period</w:t>
      </w:r>
    </w:p>
    <w:p w14:paraId="07317531" w14:textId="77777777" w:rsidR="00D75F07" w:rsidRDefault="00D75F07">
      <w:pPr>
        <w:jc w:val="center"/>
        <w:rPr>
          <w:sz w:val="18"/>
          <w:szCs w:val="18"/>
        </w:rPr>
      </w:pPr>
    </w:p>
    <w:p w14:paraId="0F698024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20a: Correlation vs. Sharpe ratio SQ MSI: 25%, using SPY - 1-month look-ahead period</w:t>
      </w:r>
    </w:p>
    <w:p w14:paraId="5D65A66A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66F2220B" wp14:editId="7210EB97">
            <wp:extent cx="7052400" cy="4203700"/>
            <wp:effectExtent l="0" t="0" r="0" b="0"/>
            <wp:docPr id="119" name="image1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AE1956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20b: Correlation vs. Sharpe ratio SQ MSI: 25%, using QQQ - 1-month look-ahead period</w:t>
      </w:r>
    </w:p>
    <w:p w14:paraId="750EB023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0E2AF9C4" wp14:editId="21BC9C10">
            <wp:extent cx="7052400" cy="4203700"/>
            <wp:effectExtent l="0" t="0" r="0" b="0"/>
            <wp:docPr id="57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881BE2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21: Correlation, beta, Sharpe ratio and recommended weights of hedges - SQ MSI: 25% - 1-month look-ahead period</w:t>
      </w:r>
    </w:p>
    <w:p w14:paraId="33A29FF8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5BBBCCB4" wp14:editId="4EA90CC0">
            <wp:extent cx="7052400" cy="3644900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DFB208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21: PV - SQ MSI: 25% - 1-month look-ahead period</w:t>
      </w:r>
    </w:p>
    <w:p w14:paraId="20BD9495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465B0927" wp14:editId="2D7AEA1F">
            <wp:extent cx="7052400" cy="4216400"/>
            <wp:effectExtent l="0" t="0" r="0" b="0"/>
            <wp:docPr id="106" name="image1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F9CA09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40C87933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22: Performance indicators with and without hedges - SQ MSI: 25% - 1-month look-ahead period</w:t>
      </w:r>
    </w:p>
    <w:p w14:paraId="65DE6504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5F746FA4" wp14:editId="10EBD241">
            <wp:extent cx="5200650" cy="1495425"/>
            <wp:effectExtent l="0" t="0" r="0" b="0"/>
            <wp:docPr id="99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D6378D" w14:textId="77777777" w:rsidR="00D75F07" w:rsidRDefault="00D75F07">
      <w:pPr>
        <w:jc w:val="center"/>
        <w:rPr>
          <w:sz w:val="18"/>
          <w:szCs w:val="18"/>
        </w:rPr>
      </w:pPr>
    </w:p>
    <w:p w14:paraId="781DE1AE" w14:textId="77777777" w:rsidR="00D75F07" w:rsidRDefault="00D75F07">
      <w:pPr>
        <w:jc w:val="center"/>
        <w:rPr>
          <w:sz w:val="18"/>
          <w:szCs w:val="18"/>
        </w:rPr>
      </w:pPr>
    </w:p>
    <w:p w14:paraId="2D67B8AA" w14:textId="77777777" w:rsidR="00D75F07" w:rsidRDefault="00D75F07">
      <w:pPr>
        <w:jc w:val="center"/>
        <w:rPr>
          <w:sz w:val="18"/>
          <w:szCs w:val="18"/>
        </w:rPr>
      </w:pPr>
    </w:p>
    <w:p w14:paraId="7F240D53" w14:textId="77777777" w:rsidR="00D75F07" w:rsidRDefault="00D75F07">
      <w:pPr>
        <w:jc w:val="center"/>
        <w:rPr>
          <w:sz w:val="18"/>
          <w:szCs w:val="18"/>
        </w:rPr>
      </w:pPr>
    </w:p>
    <w:p w14:paraId="25201281" w14:textId="77777777" w:rsidR="00D75F07" w:rsidRDefault="00404909">
      <w:pPr>
        <w:jc w:val="both"/>
        <w:rPr>
          <w:sz w:val="18"/>
          <w:szCs w:val="18"/>
        </w:rPr>
      </w:pPr>
      <w:r>
        <w:rPr>
          <w:b/>
          <w:color w:val="38761D"/>
          <w:sz w:val="24"/>
          <w:szCs w:val="24"/>
        </w:rPr>
        <w:t>SQ MSI: 60%, 1-month look-ahead period</w:t>
      </w:r>
    </w:p>
    <w:p w14:paraId="5A72A153" w14:textId="77777777" w:rsidR="00D75F07" w:rsidRDefault="00D75F07">
      <w:pPr>
        <w:jc w:val="center"/>
        <w:rPr>
          <w:sz w:val="18"/>
          <w:szCs w:val="18"/>
        </w:rPr>
      </w:pPr>
    </w:p>
    <w:p w14:paraId="7AA3CB69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22a: Correlation vs. Sharpe ratio SQ MSI: 60%, using SPY - 1-month look-ahead period</w:t>
      </w:r>
    </w:p>
    <w:p w14:paraId="78BF6850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41EDBBC3" wp14:editId="584911DD">
            <wp:extent cx="7052400" cy="4203700"/>
            <wp:effectExtent l="0" t="0" r="0" b="0"/>
            <wp:docPr id="205" name="image2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4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11B7ED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5CC9EA78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22b: Correlation vs. Sharpe ratio SQ MSI: 60%, using QQQ - 1-month look-ahead period</w:t>
      </w:r>
    </w:p>
    <w:p w14:paraId="4934E299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063F25F4" wp14:editId="3F9FACE0">
            <wp:extent cx="7052400" cy="4203700"/>
            <wp:effectExtent l="0" t="0" r="0" b="0"/>
            <wp:docPr id="199" name="image1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9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E5DBBB" w14:textId="77777777" w:rsidR="00D75F07" w:rsidRDefault="00D75F07">
      <w:pPr>
        <w:jc w:val="center"/>
        <w:rPr>
          <w:sz w:val="18"/>
          <w:szCs w:val="18"/>
        </w:rPr>
      </w:pPr>
    </w:p>
    <w:p w14:paraId="692B47BC" w14:textId="77777777" w:rsidR="00D75F07" w:rsidRDefault="00D75F07">
      <w:pPr>
        <w:jc w:val="center"/>
        <w:rPr>
          <w:sz w:val="18"/>
          <w:szCs w:val="18"/>
        </w:rPr>
      </w:pPr>
    </w:p>
    <w:p w14:paraId="3C6BD6FB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23: Correlation, beta, Sharpe ratio and recommended weights of hedges - SQ MSI: 60% - 1-month look-ahead period</w:t>
      </w:r>
    </w:p>
    <w:p w14:paraId="1023334D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6BB7DFCB" wp14:editId="08116776">
            <wp:extent cx="7052400" cy="3670300"/>
            <wp:effectExtent l="0" t="0" r="0" b="0"/>
            <wp:docPr id="219" name="image2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9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73DBD4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44C51919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23: PV - SQ MSI: 60% - 1-month look-ahead period</w:t>
      </w:r>
    </w:p>
    <w:p w14:paraId="5860C00D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1EBABEF6" wp14:editId="7D3C9378">
            <wp:extent cx="7052400" cy="4216400"/>
            <wp:effectExtent l="0" t="0" r="0" b="0"/>
            <wp:docPr id="102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B4A91D" w14:textId="77777777" w:rsidR="00D75F07" w:rsidRDefault="00D75F07">
      <w:pPr>
        <w:jc w:val="center"/>
        <w:rPr>
          <w:sz w:val="18"/>
          <w:szCs w:val="18"/>
        </w:rPr>
      </w:pPr>
    </w:p>
    <w:p w14:paraId="37C870B6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24: Performance indicators with and without hedges - SQ MSI: 60% - 1-month look-ahead period</w:t>
      </w:r>
    </w:p>
    <w:p w14:paraId="1F98D248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17F253F7" wp14:editId="468BD776">
            <wp:extent cx="5200650" cy="1504950"/>
            <wp:effectExtent l="0" t="0" r="0" b="0"/>
            <wp:docPr id="178" name="image1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3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50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C7D7AB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41A987D9" w14:textId="77777777" w:rsidR="00D75F07" w:rsidRDefault="00404909">
      <w:pPr>
        <w:jc w:val="both"/>
        <w:rPr>
          <w:sz w:val="18"/>
          <w:szCs w:val="18"/>
        </w:rPr>
      </w:pPr>
      <w:r>
        <w:rPr>
          <w:b/>
          <w:color w:val="38761D"/>
          <w:sz w:val="24"/>
          <w:szCs w:val="24"/>
        </w:rPr>
        <w:lastRenderedPageBreak/>
        <w:t>SQ MSI: 85%, 1-month look-ahead period</w:t>
      </w:r>
    </w:p>
    <w:p w14:paraId="1FCD69AC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24a: Correlation vs. Sharpe ratio SQ MSI: 85%, using SPY - 1-month look-ahead period</w:t>
      </w:r>
    </w:p>
    <w:p w14:paraId="265BBD28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7DD5B490" wp14:editId="0A7CEB55">
            <wp:extent cx="7052400" cy="4203700"/>
            <wp:effectExtent l="0" t="0" r="0" b="0"/>
            <wp:docPr id="96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7480EC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24b: Correlation vs. Sharpe ratio SQ MSI: 85%, using QQQ - 1-month look-ahead period</w:t>
      </w:r>
    </w:p>
    <w:p w14:paraId="1882ABF6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755CC875" wp14:editId="038333A2">
            <wp:extent cx="7052400" cy="4203700"/>
            <wp:effectExtent l="0" t="0" r="0" b="0"/>
            <wp:docPr id="227" name="image2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2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0BC81E" w14:textId="77777777" w:rsidR="00D75F07" w:rsidRDefault="00404909">
      <w:pPr>
        <w:jc w:val="center"/>
        <w:rPr>
          <w:sz w:val="18"/>
          <w:szCs w:val="18"/>
        </w:rPr>
      </w:pPr>
      <w:r>
        <w:lastRenderedPageBreak/>
        <w:br w:type="page"/>
      </w:r>
    </w:p>
    <w:p w14:paraId="2709193E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25: Correlation, beta, Sharpe ratio and recommended weights of hedges - SQ MSI: 85% - 1-month look-ahead period</w:t>
      </w:r>
    </w:p>
    <w:p w14:paraId="231A1A0B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5B607C88" wp14:editId="1F964D77">
            <wp:extent cx="7052400" cy="3670300"/>
            <wp:effectExtent l="0" t="0" r="0" b="0"/>
            <wp:docPr id="90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65EC84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25: PV - SQ MSI: 85% - 1-month look-ahead period</w:t>
      </w:r>
    </w:p>
    <w:p w14:paraId="502F5998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6426A2D3" wp14:editId="39415544">
            <wp:extent cx="7052400" cy="4216400"/>
            <wp:effectExtent l="0" t="0" r="0" b="0"/>
            <wp:docPr id="190" name="image1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0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8D0DA9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1551E663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26: Performance indicators with and without hedges - SQ MSI: 85% - 1-month look-ahead period</w:t>
      </w:r>
    </w:p>
    <w:p w14:paraId="02001D37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1A70D8AA" wp14:editId="7634A5C1">
            <wp:extent cx="5200650" cy="1504950"/>
            <wp:effectExtent l="0" t="0" r="0" b="0"/>
            <wp:docPr id="1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50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sectPr w:rsidR="00D75F07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2240" w:h="15840"/>
      <w:pgMar w:top="566" w:right="566" w:bottom="566" w:left="566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C04312" w14:textId="77777777" w:rsidR="00841FF5" w:rsidRDefault="00841FF5">
      <w:pPr>
        <w:spacing w:line="240" w:lineRule="auto"/>
      </w:pPr>
      <w:r>
        <w:separator/>
      </w:r>
    </w:p>
  </w:endnote>
  <w:endnote w:type="continuationSeparator" w:id="0">
    <w:p w14:paraId="7E2B186E" w14:textId="77777777" w:rsidR="00841FF5" w:rsidRDefault="00841F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1DC0D" w14:textId="77777777" w:rsidR="00051511" w:rsidRDefault="000515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60996" w14:textId="77777777" w:rsidR="00D75F07" w:rsidRDefault="00404909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051511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5F2BF" w14:textId="77777777" w:rsidR="00051511" w:rsidRDefault="000515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A4EC3" w14:textId="77777777" w:rsidR="00841FF5" w:rsidRDefault="00841FF5">
      <w:pPr>
        <w:spacing w:line="240" w:lineRule="auto"/>
      </w:pPr>
      <w:r>
        <w:separator/>
      </w:r>
    </w:p>
  </w:footnote>
  <w:footnote w:type="continuationSeparator" w:id="0">
    <w:p w14:paraId="3555B835" w14:textId="77777777" w:rsidR="00841FF5" w:rsidRDefault="00841F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7F50F" w14:textId="77777777" w:rsidR="00051511" w:rsidRDefault="000515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85E42" w14:textId="2206B54B" w:rsidR="00D75F07" w:rsidRDefault="00404909">
    <w:pPr>
      <w:pBdr>
        <w:top w:val="nil"/>
        <w:left w:val="nil"/>
        <w:bottom w:val="nil"/>
        <w:right w:val="nil"/>
        <w:between w:val="nil"/>
      </w:pBdr>
    </w:pPr>
    <w:r>
      <w:t>Hedges and Correlations</w:t>
    </w:r>
    <w:r>
      <w:tab/>
    </w:r>
    <w:r>
      <w:tab/>
    </w:r>
    <w:r>
      <w:tab/>
      <w:t xml:space="preserve">by </w:t>
    </w:r>
    <w:r w:rsidR="00051511">
      <w:t>George Antal</w:t>
    </w:r>
    <w:r>
      <w:t xml:space="preserve">, 3DClick Ltd. </w:t>
    </w:r>
    <w:r>
      <w:tab/>
    </w:r>
    <w:r>
      <w:tab/>
    </w:r>
    <w:r>
      <w:tab/>
      <w:t xml:space="preserve">  2021-0</w:t>
    </w:r>
    <w:r w:rsidR="003B382E">
      <w:t>3</w:t>
    </w:r>
    <w:r w:rsidR="00051511">
      <w:t>-01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56A87" w14:textId="77777777" w:rsidR="00051511" w:rsidRDefault="000515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C1DE5"/>
    <w:multiLevelType w:val="multilevel"/>
    <w:tmpl w:val="05201D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AF46A0"/>
    <w:multiLevelType w:val="multilevel"/>
    <w:tmpl w:val="661EE2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B9224D"/>
    <w:multiLevelType w:val="multilevel"/>
    <w:tmpl w:val="546AEC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337FF6"/>
    <w:multiLevelType w:val="multilevel"/>
    <w:tmpl w:val="A18857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F541B68"/>
    <w:multiLevelType w:val="multilevel"/>
    <w:tmpl w:val="1A2664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76B5B4C"/>
    <w:multiLevelType w:val="multilevel"/>
    <w:tmpl w:val="5692A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4157D9"/>
    <w:multiLevelType w:val="multilevel"/>
    <w:tmpl w:val="DB0046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D0C645E"/>
    <w:multiLevelType w:val="multilevel"/>
    <w:tmpl w:val="48CAD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BD92EF8"/>
    <w:multiLevelType w:val="multilevel"/>
    <w:tmpl w:val="14E265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34E3E5E"/>
    <w:multiLevelType w:val="multilevel"/>
    <w:tmpl w:val="B49EBE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9504A70"/>
    <w:multiLevelType w:val="multilevel"/>
    <w:tmpl w:val="B8504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6"/>
  </w:num>
  <w:num w:numId="9">
    <w:abstractNumId w:val="10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F07"/>
    <w:rsid w:val="00051511"/>
    <w:rsid w:val="003B382E"/>
    <w:rsid w:val="00404909"/>
    <w:rsid w:val="00841FF5"/>
    <w:rsid w:val="00D7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E451D"/>
  <w15:docId w15:val="{9B6D663F-34B3-4740-856C-0DBD0607D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5151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511"/>
  </w:style>
  <w:style w:type="paragraph" w:styleId="Footer">
    <w:name w:val="footer"/>
    <w:basedOn w:val="Normal"/>
    <w:link w:val="FooterChar"/>
    <w:uiPriority w:val="99"/>
    <w:unhideWhenUsed/>
    <w:rsid w:val="0005151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inance.yahoo.com/quote/ung" TargetMode="External"/><Relationship Id="rId18" Type="http://schemas.openxmlformats.org/officeDocument/2006/relationships/hyperlink" Target="http://www.etf.com/Uup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6.png"/><Relationship Id="rId21" Type="http://schemas.openxmlformats.org/officeDocument/2006/relationships/hyperlink" Target="https://finance.yahoo.com/quote/TAIL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76" Type="http://schemas.openxmlformats.org/officeDocument/2006/relationships/footer" Target="footer2.xml"/><Relationship Id="rId7" Type="http://schemas.openxmlformats.org/officeDocument/2006/relationships/hyperlink" Target="http://finance.yahoo.com/quote/tlt" TargetMode="External"/><Relationship Id="rId71" Type="http://schemas.openxmlformats.org/officeDocument/2006/relationships/image" Target="media/image48.png"/><Relationship Id="rId2" Type="http://schemas.openxmlformats.org/officeDocument/2006/relationships/styles" Target="styles.xml"/><Relationship Id="rId16" Type="http://schemas.openxmlformats.org/officeDocument/2006/relationships/hyperlink" Target="http://finance.yahoo.com/quote/gld" TargetMode="External"/><Relationship Id="rId29" Type="http://schemas.openxmlformats.org/officeDocument/2006/relationships/image" Target="media/image6.png"/><Relationship Id="rId11" Type="http://schemas.openxmlformats.org/officeDocument/2006/relationships/hyperlink" Target="http://finance.yahoo.com/quote/Emb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66" Type="http://schemas.openxmlformats.org/officeDocument/2006/relationships/image" Target="media/image43.png"/><Relationship Id="rId74" Type="http://schemas.openxmlformats.org/officeDocument/2006/relationships/header" Target="header2.xml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38.png"/><Relationship Id="rId10" Type="http://schemas.openxmlformats.org/officeDocument/2006/relationships/hyperlink" Target="http://finance.yahoo.com/quote/bwx" TargetMode="External"/><Relationship Id="rId19" Type="http://schemas.openxmlformats.org/officeDocument/2006/relationships/hyperlink" Target="http://finance.yahoo.com/quote/EEM/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finance.yahoo.com/quote/SHY" TargetMode="External"/><Relationship Id="rId14" Type="http://schemas.openxmlformats.org/officeDocument/2006/relationships/hyperlink" Target="http://finance.yahoo.com/quote/uso" TargetMode="External"/><Relationship Id="rId22" Type="http://schemas.openxmlformats.org/officeDocument/2006/relationships/hyperlink" Target="https://finance.yahoo.com/quote/VXX" TargetMode="External"/><Relationship Id="rId27" Type="http://schemas.openxmlformats.org/officeDocument/2006/relationships/hyperlink" Target="https://docs.google.com/spreadsheets/d/1F-8oRq1wiKqAhNPctLMjeT0OCjktorB-UglUS-UFDa0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header" Target="header3.xml"/><Relationship Id="rId8" Type="http://schemas.openxmlformats.org/officeDocument/2006/relationships/hyperlink" Target="https://finance.yahoo.com/quote/IEF" TargetMode="External"/><Relationship Id="rId51" Type="http://schemas.openxmlformats.org/officeDocument/2006/relationships/image" Target="media/image28.png"/><Relationship Id="rId72" Type="http://schemas.openxmlformats.org/officeDocument/2006/relationships/image" Target="media/image49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finance.yahoo.com/quote/jjc" TargetMode="External"/><Relationship Id="rId17" Type="http://schemas.openxmlformats.org/officeDocument/2006/relationships/hyperlink" Target="http://finance.yahoo.com/quote/slv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image" Target="media/image36.png"/><Relationship Id="rId67" Type="http://schemas.openxmlformats.org/officeDocument/2006/relationships/image" Target="media/image44.png"/><Relationship Id="rId20" Type="http://schemas.openxmlformats.org/officeDocument/2006/relationships/hyperlink" Target="https://finance.yahoo.com/quote/XLU" TargetMode="External"/><Relationship Id="rId41" Type="http://schemas.openxmlformats.org/officeDocument/2006/relationships/image" Target="media/image18.pn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70" Type="http://schemas.openxmlformats.org/officeDocument/2006/relationships/image" Target="media/image47.png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finance.yahoo.com/quote/DBC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49" Type="http://schemas.openxmlformats.org/officeDocument/2006/relationships/image" Target="media/image26.png"/><Relationship Id="rId57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34</Pages>
  <Words>1835</Words>
  <Characters>10463</Characters>
  <Application>Microsoft Office Word</Application>
  <DocSecurity>0</DocSecurity>
  <Lines>87</Lines>
  <Paragraphs>24</Paragraphs>
  <ScaleCrop>false</ScaleCrop>
  <Company/>
  <LinksUpToDate>false</LinksUpToDate>
  <CharactersWithSpaces>12274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dr. Gyorgy Antal</cp:lastModifiedBy>
  <cp:revision>3</cp:revision>
  <dcterms:created xsi:type="dcterms:W3CDTF">2021-06-08T14:12:00Z</dcterms:created>
  <dcterms:modified xsi:type="dcterms:W3CDTF">2021-06-08T14:23:00Z</dcterms:modified>
</cp:coreProperties>
</file>