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E2E13EE" w14:textId="77777777" w:rsidR="00051511" w:rsidRDefault="00051511" w:rsidP="00051511">
      <w:pPr>
        <w:pStyle w:val="Title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</w:rPr>
      </w:pPr>
      <w:bookmarkStart w:id="0" w:name="_b1y0q5med62k" w:colFirst="0" w:colLast="0"/>
      <w:bookmarkEnd w:id="0"/>
    </w:p>
    <w:p w14:paraId="28BF780A" w14:textId="77777777" w:rsidR="00051511" w:rsidRDefault="00051511" w:rsidP="00051511">
      <w:pPr>
        <w:jc w:val="center"/>
      </w:pPr>
      <w:r>
        <w:t>Dr. George Antal</w:t>
      </w:r>
    </w:p>
    <w:p w14:paraId="546CE4A8" w14:textId="77777777" w:rsidR="00051511" w:rsidRDefault="00051511" w:rsidP="00051511">
      <w:pPr>
        <w:jc w:val="center"/>
      </w:pPr>
      <w:r>
        <w:t>3D Click Limited</w:t>
      </w:r>
    </w:p>
    <w:p w14:paraId="708CF6BE" w14:textId="77777777" w:rsidR="00051511" w:rsidRDefault="00051511" w:rsidP="00051511">
      <w:pPr>
        <w:jc w:val="center"/>
      </w:pPr>
      <w:r>
        <w:t>c/o Suite 431, 28 Old Brompton Road, London SW7 3SS</w:t>
      </w:r>
    </w:p>
    <w:p w14:paraId="6AE2BE92" w14:textId="77777777" w:rsidR="00051511" w:rsidRPr="00BF4644" w:rsidRDefault="00051511" w:rsidP="00051511"/>
    <w:p w14:paraId="43DF0776" w14:textId="77777777" w:rsidR="00051511" w:rsidRDefault="00051511">
      <w:pPr>
        <w:pStyle w:val="Title"/>
        <w:spacing w:after="800"/>
        <w:jc w:val="center"/>
        <w:rPr>
          <w:b/>
          <w:color w:val="0000FF"/>
        </w:rPr>
      </w:pPr>
    </w:p>
    <w:p w14:paraId="4E9D93F3" w14:textId="0AA054BA" w:rsidR="00D75F07" w:rsidRDefault="00404909">
      <w:pPr>
        <w:pStyle w:val="Title"/>
        <w:spacing w:after="800"/>
        <w:jc w:val="center"/>
      </w:pPr>
      <w:r>
        <w:rPr>
          <w:b/>
          <w:color w:val="0000FF"/>
        </w:rPr>
        <w:t>Hedges and Correlations</w:t>
      </w:r>
    </w:p>
    <w:p w14:paraId="02001D37" w14:textId="108FD6BB" w:rsidR="00D75F07" w:rsidRDefault="00D75F07">
      <w:pPr>
        <w:jc w:val="center"/>
        <w:rPr>
          <w:sz w:val="18"/>
          <w:szCs w:val="18"/>
        </w:rPr>
      </w:pPr>
      <w:bookmarkStart w:id="1" w:name="_krjiv4llcnno" w:colFirst="0" w:colLast="0"/>
      <w:bookmarkEnd w:id="1"/>
    </w:p>
    <w:p w14:paraId="596D71C3" w14:textId="77777777" w:rsidR="00D75F07" w:rsidRDefault="00404909">
      <w:pPr>
        <w:pStyle w:val="Heading3"/>
        <w:jc w:val="both"/>
        <w:rPr>
          <w:sz w:val="28"/>
          <w:szCs w:val="28"/>
        </w:rPr>
      </w:pPr>
      <w:bookmarkStart w:id="2" w:name="_rt18l4d3kgo4" w:colFirst="0" w:colLast="0"/>
      <w:bookmarkEnd w:id="2"/>
      <w:r>
        <w:rPr>
          <w:sz w:val="28"/>
          <w:szCs w:val="28"/>
        </w:rPr>
        <w:t>Case studies for CPI-SQ3M in practice</w:t>
      </w:r>
    </w:p>
    <w:p w14:paraId="56B23B2E" w14:textId="77777777" w:rsidR="00D75F07" w:rsidRDefault="00D75F07"/>
    <w:p w14:paraId="0E952F6D" w14:textId="77777777" w:rsidR="00D75F07" w:rsidRDefault="00404909">
      <w:pPr>
        <w:jc w:val="both"/>
      </w:pPr>
      <w:r>
        <w:t xml:space="preserve">In this subsection, case studies for </w:t>
      </w:r>
      <w:r>
        <w:rPr>
          <w:b/>
        </w:rPr>
        <w:t>CPI-SQ3M inflation indicator</w:t>
      </w:r>
      <w:r>
        <w:t xml:space="preserve"> is presented. After taking a look at Chart 26 one can conclude that </w:t>
      </w:r>
      <w:r>
        <w:rPr>
          <w:b/>
        </w:rPr>
        <w:t>our simple rolling correlation calculation method used above will not be a perfect one for CPI-SQ3M</w:t>
      </w:r>
      <w:r>
        <w:t xml:space="preserve">, as </w:t>
      </w:r>
      <w:r>
        <w:rPr>
          <w:b/>
        </w:rPr>
        <w:t>extreme cases are very rare and the biggest part of the data is around its median (~+0.55%)</w:t>
      </w:r>
      <w:r>
        <w:t xml:space="preserve">. </w:t>
      </w:r>
    </w:p>
    <w:p w14:paraId="0C4928AA" w14:textId="77777777" w:rsidR="00D75F07" w:rsidRDefault="00D75F07">
      <w:pPr>
        <w:jc w:val="both"/>
      </w:pPr>
    </w:p>
    <w:p w14:paraId="6DA9C0D8" w14:textId="77777777" w:rsidR="00D75F07" w:rsidRDefault="00404909">
      <w:pPr>
        <w:jc w:val="both"/>
      </w:pPr>
      <w:r>
        <w:t xml:space="preserve">In case of the SQ MSI in the previous subsection, for a given SQ MSI level, e.g. when SQ MSI = 65%, </w:t>
      </w:r>
      <w:r>
        <w:rPr>
          <w:b/>
        </w:rPr>
        <w:t>the rolling correlation was calculated not only based on days (in the past) when the value of the indicator was just that much 65%. But we also took into account all days where the value of the indicator deviated by a maximum of 5% from this given 65%, i.e. when SQ MSI was between 60% and 70%.</w:t>
      </w:r>
      <w:r>
        <w:t xml:space="preserve"> It could </w:t>
      </w:r>
      <w:r>
        <w:rPr>
          <w:b/>
        </w:rPr>
        <w:t>increase the number of samples using similar data (since SQ MSI = 65% and SQ MSI = 67% mean almost the same market environment) and could smooth the result thanks to the rolling method</w:t>
      </w:r>
      <w:r>
        <w:t xml:space="preserve"> (For example, to calculate correlation for SQ MSI = 65%, we used data from 60% to 70%. For SQ MSI = 66%, the correlation was calculated with data from 61% to 71%, which means that we changed only one tenth of the data when switching to a </w:t>
      </w:r>
      <w:proofErr w:type="spellStart"/>
      <w:r>
        <w:t>neighbor</w:t>
      </w:r>
      <w:proofErr w:type="spellEnd"/>
      <w:r>
        <w:t>.).</w:t>
      </w:r>
    </w:p>
    <w:p w14:paraId="24581C6D" w14:textId="77777777" w:rsidR="00D75F07" w:rsidRDefault="00D75F07">
      <w:pPr>
        <w:jc w:val="both"/>
      </w:pPr>
    </w:p>
    <w:p w14:paraId="6347421C" w14:textId="77777777" w:rsidR="00D75F07" w:rsidRDefault="00404909">
      <w:pPr>
        <w:jc w:val="both"/>
      </w:pPr>
      <w:r>
        <w:t xml:space="preserve">Now, we cannot use this fixed ±5% channel, (because there are very few data at the outliers), so we have to </w:t>
      </w:r>
      <w:r>
        <w:rPr>
          <w:b/>
        </w:rPr>
        <w:t>define the lower and upper bounds separately for each CPI-SQ3M level to obtain enough sample size</w:t>
      </w:r>
      <w:r>
        <w:t xml:space="preserve">. Chart 27 shows these bounds and the distribution of these accumulated number of cases. </w:t>
      </w:r>
      <w:r>
        <w:rPr>
          <w:b/>
        </w:rPr>
        <w:t>After that modification, the method is the same as before.</w:t>
      </w:r>
      <w:r>
        <w:t xml:space="preserve"> </w:t>
      </w:r>
    </w:p>
    <w:p w14:paraId="3FC01512" w14:textId="77777777" w:rsidR="00D75F07" w:rsidRDefault="00D75F07">
      <w:pPr>
        <w:jc w:val="both"/>
      </w:pPr>
    </w:p>
    <w:p w14:paraId="46F538C4" w14:textId="77777777" w:rsidR="00D75F07" w:rsidRDefault="00404909">
      <w:pPr>
        <w:jc w:val="center"/>
      </w:pPr>
      <w:r>
        <w:rPr>
          <w:sz w:val="18"/>
          <w:szCs w:val="18"/>
        </w:rPr>
        <w:t>Chart 26: Level of CPI-SQ3M Inflation Indicator</w:t>
      </w:r>
    </w:p>
    <w:p w14:paraId="488FA041" w14:textId="77777777" w:rsidR="00D75F07" w:rsidRDefault="00404909">
      <w:pPr>
        <w:jc w:val="both"/>
      </w:pPr>
      <w:r>
        <w:rPr>
          <w:noProof/>
        </w:rPr>
        <w:lastRenderedPageBreak/>
        <w:drawing>
          <wp:inline distT="114300" distB="114300" distL="114300" distR="114300" wp14:anchorId="5CC7DF90" wp14:editId="7AD87A4A">
            <wp:extent cx="7052400" cy="4152900"/>
            <wp:effectExtent l="0" t="0" r="0" b="0"/>
            <wp:docPr id="34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15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03AA6A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2CAD8551" w14:textId="77777777" w:rsidR="00D75F07" w:rsidRDefault="00404909">
      <w:pPr>
        <w:jc w:val="center"/>
      </w:pPr>
      <w:r>
        <w:rPr>
          <w:sz w:val="18"/>
          <w:szCs w:val="18"/>
        </w:rPr>
        <w:lastRenderedPageBreak/>
        <w:t>Chart 27: Lower and Upper Bounds and Distribution of Accumulated Number of Cases</w:t>
      </w:r>
    </w:p>
    <w:p w14:paraId="17E041FB" w14:textId="77777777" w:rsidR="00D75F07" w:rsidRDefault="00404909">
      <w:pPr>
        <w:jc w:val="both"/>
      </w:pPr>
      <w:r>
        <w:rPr>
          <w:noProof/>
        </w:rPr>
        <w:drawing>
          <wp:inline distT="114300" distB="114300" distL="114300" distR="114300" wp14:anchorId="5DD86710" wp14:editId="51F6A628">
            <wp:extent cx="7052400" cy="4432300"/>
            <wp:effectExtent l="0" t="0" r="0" b="0"/>
            <wp:docPr id="40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43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4FED96" w14:textId="77777777" w:rsidR="00D75F07" w:rsidRDefault="00D75F07">
      <w:pPr>
        <w:jc w:val="both"/>
      </w:pPr>
    </w:p>
    <w:p w14:paraId="425A5E32" w14:textId="77777777" w:rsidR="00D75F07" w:rsidRDefault="00404909">
      <w:pPr>
        <w:jc w:val="both"/>
      </w:pPr>
      <w:r>
        <w:t>In this part of the study, we examine:</w:t>
      </w:r>
    </w:p>
    <w:p w14:paraId="1FDC81AD" w14:textId="77777777" w:rsidR="00D75F07" w:rsidRDefault="00404909">
      <w:pPr>
        <w:numPr>
          <w:ilvl w:val="0"/>
          <w:numId w:val="10"/>
        </w:numPr>
        <w:jc w:val="both"/>
        <w:rPr>
          <w:b/>
        </w:rPr>
      </w:pPr>
      <w:r>
        <w:rPr>
          <w:b/>
        </w:rPr>
        <w:t xml:space="preserve">2 </w:t>
      </w:r>
      <w:proofErr w:type="spellStart"/>
      <w:r>
        <w:rPr>
          <w:b/>
        </w:rPr>
        <w:t>hedgeable</w:t>
      </w:r>
      <w:proofErr w:type="spellEnd"/>
      <w:r>
        <w:rPr>
          <w:b/>
        </w:rPr>
        <w:t xml:space="preserve"> ‘portfolio’: long SPY and long QQQ;</w:t>
      </w:r>
    </w:p>
    <w:p w14:paraId="696797B2" w14:textId="77777777" w:rsidR="00D75F07" w:rsidRDefault="00404909">
      <w:pPr>
        <w:numPr>
          <w:ilvl w:val="0"/>
          <w:numId w:val="10"/>
        </w:numPr>
        <w:jc w:val="both"/>
        <w:rPr>
          <w:b/>
        </w:rPr>
      </w:pPr>
      <w:r>
        <w:rPr>
          <w:b/>
        </w:rPr>
        <w:t>3 different CPI-SQ3M level: -0.55% (deflation, -2.2% annualized), 0.5% (the median from 2004 to 2020, +2% annualized) and 1.25% (extreme inflation, +5% annualized);</w:t>
      </w:r>
    </w:p>
    <w:p w14:paraId="46337D4D" w14:textId="77777777" w:rsidR="00D75F07" w:rsidRDefault="00404909">
      <w:pPr>
        <w:numPr>
          <w:ilvl w:val="0"/>
          <w:numId w:val="10"/>
        </w:numPr>
        <w:jc w:val="both"/>
        <w:rPr>
          <w:b/>
        </w:rPr>
      </w:pPr>
      <w:r>
        <w:rPr>
          <w:b/>
        </w:rPr>
        <w:t>3 different look-ahead periods: 5-day, 10-day and 1-month.</w:t>
      </w:r>
    </w:p>
    <w:p w14:paraId="405AD38E" w14:textId="77777777" w:rsidR="00D75F07" w:rsidRDefault="00D75F07">
      <w:pPr>
        <w:jc w:val="both"/>
      </w:pPr>
    </w:p>
    <w:p w14:paraId="7772CD98" w14:textId="77777777" w:rsidR="00D75F07" w:rsidRDefault="00404909">
      <w:pPr>
        <w:jc w:val="both"/>
      </w:pPr>
      <w:r>
        <w:t xml:space="preserve">In each </w:t>
      </w:r>
      <w:r>
        <w:rPr>
          <w:b/>
        </w:rPr>
        <w:t>nine cases (3 CPI-SQ3M x 3 look-ahead)</w:t>
      </w:r>
      <w:r>
        <w:t>, at first, the</w:t>
      </w:r>
      <w:r>
        <w:rPr>
          <w:b/>
        </w:rPr>
        <w:t xml:space="preserve"> scatter plot of correlation vs. Sharpe ratio</w:t>
      </w:r>
      <w:r>
        <w:t xml:space="preserve"> can be seen (e.g. Chart 28a-b), which helps us to</w:t>
      </w:r>
      <w:r>
        <w:rPr>
          <w:b/>
        </w:rPr>
        <w:t xml:space="preserve"> select the most promising hedges</w:t>
      </w:r>
      <w:r>
        <w:t xml:space="preserve"> (significantly negative correlation and positive Sharpe ratio and/or significantly positive correlation and negative Sharpe ratio (short)). After that, a table can be found (e.g. Table 27) which contains </w:t>
      </w:r>
      <w:r>
        <w:rPr>
          <w:b/>
        </w:rPr>
        <w:t>not only the correlation coefficients for every hedge, but the beta compared to the SPY/QQQ</w:t>
      </w:r>
      <w:r>
        <w:t xml:space="preserve"> as well. Based on these beta, one can </w:t>
      </w:r>
      <w:r>
        <w:rPr>
          <w:b/>
        </w:rPr>
        <w:t>specify the desired weights</w:t>
      </w:r>
      <w:r>
        <w:t xml:space="preserve"> of the selected hedges. We do not recommend any exact method for this, but it would theoretically be possible to create a near-beta-neutral portfolio. However, this would have been an overly over-fitted system. </w:t>
      </w:r>
      <w:r>
        <w:rPr>
          <w:b/>
        </w:rPr>
        <w:t>Our recommended weights</w:t>
      </w:r>
      <w:r>
        <w:t xml:space="preserve"> in the penultimate column are discretionary determined based on the previous columns. Finally, a </w:t>
      </w:r>
      <w:r>
        <w:rPr>
          <w:b/>
        </w:rPr>
        <w:t>portfolio value chart</w:t>
      </w:r>
      <w:r>
        <w:t xml:space="preserve"> (e.g. Chart 29) and a</w:t>
      </w:r>
      <w:r>
        <w:rPr>
          <w:b/>
        </w:rPr>
        <w:t xml:space="preserve"> performance indicator table</w:t>
      </w:r>
      <w:r>
        <w:t xml:space="preserve"> (Table 28) can be found which shows how the performance of the </w:t>
      </w:r>
      <w:r>
        <w:rPr>
          <w:b/>
        </w:rPr>
        <w:t>portfolio (SPY/QQQ) with and without hedges (double leverage in this case in this study because of the weights of the hedges)</w:t>
      </w:r>
      <w:r>
        <w:t xml:space="preserve"> would have progressed in the days when the level of </w:t>
      </w:r>
      <w:r>
        <w:rPr>
          <w:b/>
        </w:rPr>
        <w:t>CPI-SQ3Ml</w:t>
      </w:r>
      <w:r>
        <w:t xml:space="preserve"> is between the above defined </w:t>
      </w:r>
      <w:r>
        <w:rPr>
          <w:b/>
        </w:rPr>
        <w:t>lower and upper bounds</w:t>
      </w:r>
      <w:r>
        <w:t>. It is worth noting that these results may suffer from look-ahead and data-mining biases.</w:t>
      </w:r>
    </w:p>
    <w:p w14:paraId="0A46265A" w14:textId="77777777" w:rsidR="00D75F07" w:rsidRDefault="00D75F07">
      <w:pPr>
        <w:jc w:val="both"/>
      </w:pPr>
    </w:p>
    <w:p w14:paraId="4039EDFD" w14:textId="77777777" w:rsidR="00D75F07" w:rsidRDefault="00404909">
      <w:pPr>
        <w:jc w:val="both"/>
      </w:pPr>
      <w:r>
        <w:br w:type="page"/>
      </w:r>
    </w:p>
    <w:p w14:paraId="096BCB98" w14:textId="77777777" w:rsidR="00D75F07" w:rsidRDefault="00404909">
      <w:pPr>
        <w:jc w:val="both"/>
      </w:pPr>
      <w:r>
        <w:lastRenderedPageBreak/>
        <w:t>In this subsection, we will not explain each case in detail, as we could describe nearly identical things in each one. Our main findings and thoughts are:</w:t>
      </w:r>
    </w:p>
    <w:p w14:paraId="076E410B" w14:textId="77777777" w:rsidR="00D75F07" w:rsidRDefault="00404909">
      <w:pPr>
        <w:numPr>
          <w:ilvl w:val="0"/>
          <w:numId w:val="8"/>
        </w:numPr>
        <w:spacing w:before="60"/>
        <w:jc w:val="both"/>
        <w:rPr>
          <w:b/>
        </w:rPr>
      </w:pPr>
      <w:r>
        <w:rPr>
          <w:b/>
        </w:rPr>
        <w:t>As the SPY and the QQQ are highly correlated, the same hedges are appropriate for both in a given market environment.</w:t>
      </w:r>
    </w:p>
    <w:p w14:paraId="2BC1E6AA" w14:textId="77777777" w:rsidR="00D75F07" w:rsidRDefault="00404909">
      <w:pPr>
        <w:numPr>
          <w:ilvl w:val="0"/>
          <w:numId w:val="8"/>
        </w:numPr>
        <w:spacing w:before="60"/>
        <w:jc w:val="both"/>
        <w:rPr>
          <w:b/>
        </w:rPr>
      </w:pPr>
      <w:r>
        <w:rPr>
          <w:b/>
        </w:rPr>
        <w:t>TLT, IEF and SHY are good choices in almost all cases.</w:t>
      </w:r>
    </w:p>
    <w:p w14:paraId="48BACCEB" w14:textId="77777777" w:rsidR="00D75F07" w:rsidRDefault="00404909">
      <w:pPr>
        <w:numPr>
          <w:ilvl w:val="0"/>
          <w:numId w:val="8"/>
        </w:numPr>
        <w:spacing w:before="60"/>
        <w:jc w:val="both"/>
        <w:rPr>
          <w:b/>
        </w:rPr>
      </w:pPr>
      <w:r>
        <w:rPr>
          <w:b/>
        </w:rPr>
        <w:t xml:space="preserve">Only bonds (and maybe short gas (UNG)) are appropriate hedges during ‘normal times’, </w:t>
      </w:r>
      <w:proofErr w:type="spellStart"/>
      <w:r>
        <w:rPr>
          <w:b/>
        </w:rPr>
        <w:t>ie</w:t>
      </w:r>
      <w:proofErr w:type="spellEnd"/>
      <w:r>
        <w:rPr>
          <w:b/>
        </w:rPr>
        <w:t xml:space="preserve">. when the level of CPI-SQ3M is around its median (~+0.5%). </w:t>
      </w:r>
    </w:p>
    <w:p w14:paraId="41541FF3" w14:textId="77777777" w:rsidR="00D75F07" w:rsidRDefault="00404909">
      <w:pPr>
        <w:numPr>
          <w:ilvl w:val="0"/>
          <w:numId w:val="8"/>
        </w:numPr>
        <w:spacing w:before="60"/>
        <w:jc w:val="both"/>
        <w:rPr>
          <w:b/>
        </w:rPr>
      </w:pPr>
      <w:r>
        <w:rPr>
          <w:b/>
        </w:rPr>
        <w:t>Long VXX is only worth using as a hedge during deflation.</w:t>
      </w:r>
    </w:p>
    <w:p w14:paraId="535A792E" w14:textId="77777777" w:rsidR="00D75F07" w:rsidRDefault="00404909">
      <w:pPr>
        <w:numPr>
          <w:ilvl w:val="0"/>
          <w:numId w:val="8"/>
        </w:numPr>
        <w:spacing w:before="60"/>
        <w:jc w:val="both"/>
        <w:rPr>
          <w:b/>
        </w:rPr>
      </w:pPr>
      <w:r>
        <w:rPr>
          <w:b/>
        </w:rPr>
        <w:t>Short gas (UNG), short commodity (DBC) and/or short oil (USO) can also be used in the hedging basket only during deflation.</w:t>
      </w:r>
    </w:p>
    <w:p w14:paraId="50E7B3A0" w14:textId="77777777" w:rsidR="00D75F07" w:rsidRDefault="00404909">
      <w:pPr>
        <w:numPr>
          <w:ilvl w:val="0"/>
          <w:numId w:val="8"/>
        </w:numPr>
        <w:spacing w:before="60"/>
        <w:jc w:val="both"/>
        <w:rPr>
          <w:b/>
        </w:rPr>
      </w:pPr>
      <w:r>
        <w:rPr>
          <w:b/>
        </w:rPr>
        <w:t>Short dollar (UUP), long International T-bond (BWX) and long metals (GLD, SLV, JJC) are useful hedges when the inflation indicator is very high.</w:t>
      </w:r>
    </w:p>
    <w:p w14:paraId="63E2D9C3" w14:textId="77777777" w:rsidR="00D75F07" w:rsidRDefault="00404909">
      <w:pPr>
        <w:numPr>
          <w:ilvl w:val="0"/>
          <w:numId w:val="8"/>
        </w:numPr>
        <w:spacing w:before="60"/>
        <w:jc w:val="both"/>
        <w:rPr>
          <w:b/>
        </w:rPr>
      </w:pPr>
      <w:r>
        <w:rPr>
          <w:b/>
        </w:rPr>
        <w:t>The beta of SHY is too low to be worth dealing with this ETF.</w:t>
      </w:r>
    </w:p>
    <w:p w14:paraId="10C9097A" w14:textId="77777777" w:rsidR="00D75F07" w:rsidRDefault="00404909">
      <w:pPr>
        <w:numPr>
          <w:ilvl w:val="0"/>
          <w:numId w:val="8"/>
        </w:numPr>
        <w:spacing w:before="60"/>
        <w:jc w:val="both"/>
        <w:rPr>
          <w:b/>
        </w:rPr>
      </w:pPr>
      <w:r>
        <w:rPr>
          <w:b/>
        </w:rPr>
        <w:t>TAIL seems like a good choice during deflation, but it is worth being careful, as there is very little historical data available so far (TAIL is available only from 2017).</w:t>
      </w:r>
    </w:p>
    <w:p w14:paraId="0B7D358F" w14:textId="77777777" w:rsidR="00D75F07" w:rsidRDefault="00404909">
      <w:pPr>
        <w:numPr>
          <w:ilvl w:val="0"/>
          <w:numId w:val="8"/>
        </w:numPr>
        <w:spacing w:before="60"/>
        <w:jc w:val="both"/>
        <w:rPr>
          <w:b/>
        </w:rPr>
      </w:pPr>
      <w:r>
        <w:rPr>
          <w:b/>
        </w:rPr>
        <w:t>In all the nine cases, using hedge can improve both the Sharpe and the MAR ratios (it does not depend on the leverage!).</w:t>
      </w:r>
    </w:p>
    <w:p w14:paraId="5D7C772E" w14:textId="77777777" w:rsidR="00D75F07" w:rsidRDefault="00D75F07">
      <w:pPr>
        <w:jc w:val="both"/>
      </w:pPr>
    </w:p>
    <w:p w14:paraId="0AF4FD73" w14:textId="77777777" w:rsidR="00D75F07" w:rsidRDefault="00404909">
      <w:pPr>
        <w:jc w:val="both"/>
      </w:pPr>
      <w:r>
        <w:t xml:space="preserve">It is worth emphasizing that international T-bond (BWX) can also be a good hedge during high inflation. Furthermore, its CAGR (from 2007-10-05 until 2021-02-19) is not significantly worse than that of US bonds: </w:t>
      </w:r>
    </w:p>
    <w:p w14:paraId="73ABE12B" w14:textId="77777777" w:rsidR="00D75F07" w:rsidRDefault="00404909">
      <w:pPr>
        <w:numPr>
          <w:ilvl w:val="0"/>
          <w:numId w:val="11"/>
        </w:numPr>
        <w:jc w:val="both"/>
      </w:pPr>
      <w:r>
        <w:t>TLT: 6.89%</w:t>
      </w:r>
    </w:p>
    <w:p w14:paraId="23EA17E6" w14:textId="77777777" w:rsidR="00D75F07" w:rsidRDefault="00404909">
      <w:pPr>
        <w:numPr>
          <w:ilvl w:val="0"/>
          <w:numId w:val="11"/>
        </w:numPr>
        <w:jc w:val="both"/>
      </w:pPr>
      <w:r>
        <w:t>IEF: 4.99%</w:t>
      </w:r>
    </w:p>
    <w:p w14:paraId="66A38DF9" w14:textId="77777777" w:rsidR="00D75F07" w:rsidRDefault="00404909">
      <w:pPr>
        <w:numPr>
          <w:ilvl w:val="0"/>
          <w:numId w:val="11"/>
        </w:numPr>
        <w:jc w:val="both"/>
      </w:pPr>
      <w:r>
        <w:t>SHY: 2.08%</w:t>
      </w:r>
    </w:p>
    <w:p w14:paraId="2B8A64DF" w14:textId="77777777" w:rsidR="00D75F07" w:rsidRDefault="00404909">
      <w:pPr>
        <w:numPr>
          <w:ilvl w:val="0"/>
          <w:numId w:val="11"/>
        </w:numPr>
        <w:jc w:val="both"/>
      </w:pPr>
      <w:r>
        <w:t>BWX: 2.56%</w:t>
      </w:r>
    </w:p>
    <w:p w14:paraId="774C8990" w14:textId="77777777" w:rsidR="00D75F07" w:rsidRDefault="00404909">
      <w:pPr>
        <w:jc w:val="both"/>
      </w:pPr>
      <w:r>
        <w:t xml:space="preserve">Thus, </w:t>
      </w:r>
      <w:proofErr w:type="gramStart"/>
      <w:r>
        <w:t>It</w:t>
      </w:r>
      <w:proofErr w:type="gramEnd"/>
      <w:r>
        <w:t xml:space="preserve"> may be worth considering the use of this ETF in our other strategies for diversification purposes as well - not only during high inflation.</w:t>
      </w:r>
    </w:p>
    <w:p w14:paraId="4E464F40" w14:textId="77777777" w:rsidR="00D75F07" w:rsidRDefault="00D75F07">
      <w:pPr>
        <w:jc w:val="both"/>
      </w:pPr>
    </w:p>
    <w:p w14:paraId="7A5B207D" w14:textId="77777777" w:rsidR="00D75F07" w:rsidRDefault="00404909">
      <w:pPr>
        <w:jc w:val="both"/>
      </w:pPr>
      <w:r>
        <w:t xml:space="preserve">An </w:t>
      </w:r>
      <w:r>
        <w:rPr>
          <w:b/>
        </w:rPr>
        <w:t xml:space="preserve">online </w:t>
      </w:r>
      <w:proofErr w:type="spellStart"/>
      <w:r>
        <w:rPr>
          <w:b/>
        </w:rPr>
        <w:t>GoogleSheet</w:t>
      </w:r>
      <w:proofErr w:type="spellEnd"/>
      <w:r>
        <w:rPr>
          <w:b/>
        </w:rPr>
        <w:t xml:space="preserve"> version for this CPI-SQ3M - </w:t>
      </w:r>
      <w:proofErr w:type="spellStart"/>
      <w:r>
        <w:rPr>
          <w:b/>
        </w:rPr>
        <w:t>SnifferQuant</w:t>
      </w:r>
      <w:proofErr w:type="spellEnd"/>
      <w:r>
        <w:rPr>
          <w:b/>
        </w:rPr>
        <w:t xml:space="preserve"> Hedge-Selection Method</w:t>
      </w:r>
      <w:r>
        <w:t xml:space="preserve"> can be found </w:t>
      </w:r>
      <w:hyperlink r:id="rId9">
        <w:r>
          <w:rPr>
            <w:b/>
            <w:color w:val="1155CC"/>
            <w:u w:val="single"/>
          </w:rPr>
          <w:t>here</w:t>
        </w:r>
      </w:hyperlink>
      <w:r>
        <w:t xml:space="preserve">, where the </w:t>
      </w:r>
      <w:r>
        <w:rPr>
          <w:b/>
        </w:rPr>
        <w:t>CPI-SQ3M level</w:t>
      </w:r>
      <w:r>
        <w:t xml:space="preserve"> (cell ‘B1’), the</w:t>
      </w:r>
      <w:r>
        <w:rPr>
          <w:b/>
        </w:rPr>
        <w:t xml:space="preserve"> look-ahead period </w:t>
      </w:r>
      <w:r>
        <w:t xml:space="preserve">(cell ‘E1’) and the </w:t>
      </w:r>
      <w:r>
        <w:rPr>
          <w:b/>
        </w:rPr>
        <w:t>discretionary hedge weights</w:t>
      </w:r>
      <w:r>
        <w:t xml:space="preserve"> (cells ‘G24:G39’) should be changed.</w:t>
      </w:r>
    </w:p>
    <w:p w14:paraId="14FA5E3D" w14:textId="77777777" w:rsidR="00D75F07" w:rsidRDefault="00D75F07">
      <w:pPr>
        <w:jc w:val="both"/>
      </w:pPr>
    </w:p>
    <w:p w14:paraId="63FE0354" w14:textId="77777777" w:rsidR="00D75F07" w:rsidRDefault="00404909">
      <w:pPr>
        <w:jc w:val="both"/>
        <w:rPr>
          <w:b/>
        </w:rPr>
      </w:pPr>
      <w:r>
        <w:rPr>
          <w:b/>
        </w:rPr>
        <w:t xml:space="preserve">In summary, we strongly believe that this CPI-SQ3M - </w:t>
      </w:r>
      <w:proofErr w:type="spellStart"/>
      <w:r>
        <w:rPr>
          <w:b/>
        </w:rPr>
        <w:t>SnifferQuant</w:t>
      </w:r>
      <w:proofErr w:type="spellEnd"/>
      <w:r>
        <w:rPr>
          <w:b/>
        </w:rPr>
        <w:t xml:space="preserve"> Hedge-Selection Method can be a useful tool in all market situations. It helps us to select the expectedly most effective hedges which can even generate extra profit as well (in addition to risk reduction).</w:t>
      </w:r>
    </w:p>
    <w:p w14:paraId="22D29E0F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0506788C" w14:textId="77777777" w:rsidR="00D75F07" w:rsidRDefault="00404909">
      <w:pPr>
        <w:jc w:val="both"/>
        <w:rPr>
          <w:b/>
          <w:color w:val="38761D"/>
          <w:sz w:val="20"/>
          <w:szCs w:val="20"/>
        </w:rPr>
      </w:pPr>
      <w:r>
        <w:rPr>
          <w:b/>
          <w:color w:val="38761D"/>
          <w:sz w:val="24"/>
          <w:szCs w:val="24"/>
        </w:rPr>
        <w:lastRenderedPageBreak/>
        <w:t>CPI-SQ3M: -0.55%, 5-day look-ahead period</w:t>
      </w:r>
    </w:p>
    <w:p w14:paraId="644B5731" w14:textId="77777777" w:rsidR="00D75F07" w:rsidRDefault="00D75F07">
      <w:pPr>
        <w:jc w:val="center"/>
        <w:rPr>
          <w:sz w:val="18"/>
          <w:szCs w:val="18"/>
        </w:rPr>
      </w:pPr>
    </w:p>
    <w:p w14:paraId="395CE5D1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28a: Correlation vs. Sharpe ratio CPI-SQ3M: -0.55%, using SPY - 5-day look-ahead period</w:t>
      </w:r>
    </w:p>
    <w:p w14:paraId="3BE955CC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7E512219" wp14:editId="0996038F">
            <wp:extent cx="7052400" cy="4203700"/>
            <wp:effectExtent l="0" t="0" r="0" b="0"/>
            <wp:docPr id="116" name="image1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8D48E8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28b: Correlation vs. Sharpe ratio CPI-SQ3M: -0.55%, using QQQ - 5-day look-ahead period</w:t>
      </w:r>
    </w:p>
    <w:p w14:paraId="24329EEF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114300" distB="114300" distL="114300" distR="114300" wp14:anchorId="5B133CC5" wp14:editId="0C0F37C6">
            <wp:extent cx="7052400" cy="4203700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080892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27: Correlation, beta, Sharpe ratio and recommended weights of hedges - CPI-SQ3M: -0.55% - 5-day look-ahead period</w:t>
      </w:r>
    </w:p>
    <w:p w14:paraId="603DB4E6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3EDB511D" wp14:editId="7EC3A97C">
            <wp:extent cx="7052400" cy="3581400"/>
            <wp:effectExtent l="0" t="0" r="0" b="0"/>
            <wp:docPr id="192" name="image1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51B445" w14:textId="77777777" w:rsidR="00D75F07" w:rsidRDefault="00D75F07">
      <w:pPr>
        <w:jc w:val="center"/>
        <w:rPr>
          <w:sz w:val="18"/>
          <w:szCs w:val="18"/>
        </w:rPr>
      </w:pPr>
    </w:p>
    <w:p w14:paraId="6B7D974D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29: PV - CPI-SQ3M: -0.55% - 5-day look-ahead period</w:t>
      </w:r>
    </w:p>
    <w:p w14:paraId="4C2255D0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114300" distB="114300" distL="114300" distR="114300" wp14:anchorId="334A0617" wp14:editId="39D86690">
            <wp:extent cx="7052400" cy="4216400"/>
            <wp:effectExtent l="0" t="0" r="0" b="0"/>
            <wp:docPr id="101" name="image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42FBAE" w14:textId="77777777" w:rsidR="00D75F07" w:rsidRDefault="00D75F07">
      <w:pPr>
        <w:jc w:val="center"/>
        <w:rPr>
          <w:sz w:val="18"/>
          <w:szCs w:val="18"/>
        </w:rPr>
      </w:pPr>
    </w:p>
    <w:p w14:paraId="10BE2A5D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6A6BF7B1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Table 28: Performance indicators with and without hedges - CPI-SQ3M: -0.55% - 5-day look-ahead period</w:t>
      </w:r>
    </w:p>
    <w:p w14:paraId="4B0A2D32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3DE383B8" wp14:editId="5C4108C7">
            <wp:extent cx="5457825" cy="1485900"/>
            <wp:effectExtent l="0" t="0" r="0" b="0"/>
            <wp:docPr id="82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74C695" w14:textId="77777777" w:rsidR="00D75F07" w:rsidRDefault="00D75F07">
      <w:pPr>
        <w:jc w:val="center"/>
        <w:rPr>
          <w:sz w:val="18"/>
          <w:szCs w:val="18"/>
        </w:rPr>
      </w:pPr>
    </w:p>
    <w:p w14:paraId="7AF31FC9" w14:textId="77777777" w:rsidR="00D75F07" w:rsidRDefault="00D75F07">
      <w:pPr>
        <w:jc w:val="both"/>
        <w:rPr>
          <w:b/>
          <w:color w:val="38761D"/>
          <w:sz w:val="24"/>
          <w:szCs w:val="24"/>
        </w:rPr>
      </w:pPr>
    </w:p>
    <w:p w14:paraId="5C17642B" w14:textId="77777777" w:rsidR="00D75F07" w:rsidRDefault="00D75F07">
      <w:pPr>
        <w:jc w:val="both"/>
        <w:rPr>
          <w:b/>
          <w:color w:val="38761D"/>
          <w:sz w:val="24"/>
          <w:szCs w:val="24"/>
        </w:rPr>
      </w:pPr>
    </w:p>
    <w:p w14:paraId="086AB318" w14:textId="77777777" w:rsidR="00D75F07" w:rsidRDefault="00404909">
      <w:pPr>
        <w:jc w:val="both"/>
        <w:rPr>
          <w:sz w:val="18"/>
          <w:szCs w:val="18"/>
        </w:rPr>
      </w:pPr>
      <w:r>
        <w:rPr>
          <w:b/>
          <w:color w:val="38761D"/>
          <w:sz w:val="24"/>
          <w:szCs w:val="24"/>
        </w:rPr>
        <w:t>CPI-SQ3M: +0.5%, 5-day look-ahead period</w:t>
      </w:r>
    </w:p>
    <w:p w14:paraId="006561A9" w14:textId="77777777" w:rsidR="00D75F07" w:rsidRDefault="00D75F07">
      <w:pPr>
        <w:jc w:val="center"/>
        <w:rPr>
          <w:sz w:val="18"/>
          <w:szCs w:val="18"/>
        </w:rPr>
      </w:pPr>
    </w:p>
    <w:p w14:paraId="4C603DE0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30a: Correlation vs. Sharpe ratio CPI-SQ3M: +0.5%, using SPY - 5-day look-ahead period</w:t>
      </w:r>
    </w:p>
    <w:p w14:paraId="23329E08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45FA9974" wp14:editId="39DDC4D8">
            <wp:extent cx="7052400" cy="4203700"/>
            <wp:effectExtent l="0" t="0" r="0" b="0"/>
            <wp:docPr id="210" name="image2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E57118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68309DE7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Chart 30b: Correlation vs. Sharpe ratio CPI-SQ3M: +0.5%, using QQQ - 5-day look-ahead period</w:t>
      </w:r>
    </w:p>
    <w:p w14:paraId="2C268E3F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0BD553CF" wp14:editId="11FCEEAA">
            <wp:extent cx="7052400" cy="4203700"/>
            <wp:effectExtent l="0" t="0" r="0" b="0"/>
            <wp:docPr id="196" name="image1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2BCCDE" w14:textId="77777777" w:rsidR="00D75F07" w:rsidRDefault="00D75F07">
      <w:pPr>
        <w:jc w:val="center"/>
        <w:rPr>
          <w:sz w:val="18"/>
          <w:szCs w:val="18"/>
        </w:rPr>
      </w:pPr>
    </w:p>
    <w:p w14:paraId="515F5383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29: Correlation, beta, Sharpe ratio and recommended weights of hedges - CPI-SQ3M: +0.5% - 5-day look-ahead period</w:t>
      </w:r>
    </w:p>
    <w:p w14:paraId="5113B3E3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2F5CA7A8" wp14:editId="10989ED7">
            <wp:extent cx="7052400" cy="3632200"/>
            <wp:effectExtent l="0" t="0" r="0" b="0"/>
            <wp:docPr id="39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63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E8E97F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3152ABC4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Chart 31: PV - CPI-SQ3M: +0.5% - 5-day look-ahead period</w:t>
      </w:r>
    </w:p>
    <w:p w14:paraId="4B945725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4A126A88" wp14:editId="3F8DC7BC">
            <wp:extent cx="7052400" cy="42164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DFF139" w14:textId="77777777" w:rsidR="00D75F07" w:rsidRDefault="00D75F07">
      <w:pPr>
        <w:jc w:val="center"/>
        <w:rPr>
          <w:sz w:val="18"/>
          <w:szCs w:val="18"/>
        </w:rPr>
      </w:pPr>
    </w:p>
    <w:p w14:paraId="6E35D5D2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30: Performance indicators with and without hedges - CPI-SQ3M: +0.5% - 5-day look-ahead period</w:t>
      </w:r>
    </w:p>
    <w:p w14:paraId="2258C962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3D345974" wp14:editId="1C588F09">
            <wp:extent cx="5581650" cy="1495425"/>
            <wp:effectExtent l="0" t="0" r="0" b="0"/>
            <wp:docPr id="112" name="image1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328440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04086851" w14:textId="77777777" w:rsidR="00D75F07" w:rsidRDefault="00404909">
      <w:pPr>
        <w:jc w:val="both"/>
        <w:rPr>
          <w:b/>
          <w:color w:val="38761D"/>
          <w:sz w:val="24"/>
          <w:szCs w:val="24"/>
        </w:rPr>
      </w:pPr>
      <w:r>
        <w:rPr>
          <w:b/>
          <w:color w:val="38761D"/>
          <w:sz w:val="24"/>
          <w:szCs w:val="24"/>
        </w:rPr>
        <w:lastRenderedPageBreak/>
        <w:t>CPI-SQ3M: +1.25%, 5-day look-ahead period</w:t>
      </w:r>
    </w:p>
    <w:p w14:paraId="51968F77" w14:textId="77777777" w:rsidR="00D75F07" w:rsidRDefault="00D75F07">
      <w:pPr>
        <w:jc w:val="both"/>
        <w:rPr>
          <w:b/>
          <w:color w:val="38761D"/>
          <w:sz w:val="24"/>
          <w:szCs w:val="24"/>
        </w:rPr>
      </w:pPr>
    </w:p>
    <w:p w14:paraId="180AB03C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32a: Correlation vs. Sharpe ratio CPI-SQ3M: +1.25%, using SPY - 5-day look-ahead period</w:t>
      </w:r>
    </w:p>
    <w:p w14:paraId="6D17A5C4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0C740239" wp14:editId="5985EFCA">
            <wp:extent cx="7052400" cy="4203700"/>
            <wp:effectExtent l="0" t="0" r="0" b="0"/>
            <wp:docPr id="201" name="image2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3F4458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32b: Correlation vs. Sharpe ratio CPI-SQ3M: +1.25%, using QQQ - 5-day look-ahead period</w:t>
      </w:r>
    </w:p>
    <w:p w14:paraId="792DAC6C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114300" distB="114300" distL="114300" distR="114300" wp14:anchorId="024D033C" wp14:editId="5F81C905">
            <wp:extent cx="7052400" cy="4203700"/>
            <wp:effectExtent l="0" t="0" r="0" b="0"/>
            <wp:docPr id="175" name="image1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3C9DDF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31: Correlation, beta, Sharpe ratio and recommended weights of hedges - CPI-SQ3M: +1.25% - 5-day look-ahead period</w:t>
      </w:r>
    </w:p>
    <w:p w14:paraId="788170EA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1109B5D0" wp14:editId="3C90B3BF">
            <wp:extent cx="7052400" cy="3606800"/>
            <wp:effectExtent l="0" t="0" r="0" b="0"/>
            <wp:docPr id="77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D5B958" w14:textId="77777777" w:rsidR="00D75F07" w:rsidRDefault="00D75F07">
      <w:pPr>
        <w:jc w:val="center"/>
        <w:rPr>
          <w:sz w:val="18"/>
          <w:szCs w:val="18"/>
        </w:rPr>
      </w:pPr>
    </w:p>
    <w:p w14:paraId="5A343404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33: PV - CPI-SQ3M: +1.25% - 5-day look-ahead period</w:t>
      </w:r>
    </w:p>
    <w:p w14:paraId="1FBC6F7F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114300" distB="114300" distL="114300" distR="114300" wp14:anchorId="164C6F4B" wp14:editId="0D565FF9">
            <wp:extent cx="7052400" cy="4216400"/>
            <wp:effectExtent l="0" t="0" r="0" b="0"/>
            <wp:docPr id="131" name="image1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0E2026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07F41073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Table 32: Performance indicators with and without hedges - CPI-SQ3M: +1.25% - 5-day look-ahead period</w:t>
      </w:r>
    </w:p>
    <w:p w14:paraId="3927B98F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45AC911F" wp14:editId="08483EE9">
            <wp:extent cx="5581650" cy="1495425"/>
            <wp:effectExtent l="0" t="0" r="0" b="0"/>
            <wp:docPr id="149" name="image1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067C1D" w14:textId="77777777" w:rsidR="00D75F07" w:rsidRDefault="00D75F07">
      <w:pPr>
        <w:jc w:val="center"/>
        <w:rPr>
          <w:sz w:val="18"/>
          <w:szCs w:val="18"/>
        </w:rPr>
      </w:pPr>
    </w:p>
    <w:p w14:paraId="47D44438" w14:textId="77777777" w:rsidR="00D75F07" w:rsidRDefault="00D75F07">
      <w:pPr>
        <w:jc w:val="center"/>
        <w:rPr>
          <w:sz w:val="18"/>
          <w:szCs w:val="18"/>
        </w:rPr>
      </w:pPr>
    </w:p>
    <w:p w14:paraId="3549F076" w14:textId="77777777" w:rsidR="00D75F07" w:rsidRDefault="00D75F07">
      <w:pPr>
        <w:jc w:val="center"/>
        <w:rPr>
          <w:sz w:val="18"/>
          <w:szCs w:val="18"/>
        </w:rPr>
      </w:pPr>
    </w:p>
    <w:p w14:paraId="709AA9B8" w14:textId="77777777" w:rsidR="00D75F07" w:rsidRDefault="00404909">
      <w:pPr>
        <w:jc w:val="both"/>
        <w:rPr>
          <w:b/>
          <w:color w:val="38761D"/>
          <w:sz w:val="24"/>
          <w:szCs w:val="24"/>
        </w:rPr>
      </w:pPr>
      <w:r>
        <w:rPr>
          <w:b/>
          <w:color w:val="38761D"/>
          <w:sz w:val="24"/>
          <w:szCs w:val="24"/>
        </w:rPr>
        <w:t>CPI-SQ3M: -0.55%, 10-day look-ahead period</w:t>
      </w:r>
    </w:p>
    <w:p w14:paraId="786DE34A" w14:textId="77777777" w:rsidR="00D75F07" w:rsidRDefault="00D75F07">
      <w:pPr>
        <w:jc w:val="both"/>
        <w:rPr>
          <w:b/>
          <w:color w:val="38761D"/>
          <w:sz w:val="24"/>
          <w:szCs w:val="24"/>
        </w:rPr>
      </w:pPr>
    </w:p>
    <w:p w14:paraId="2AB57A02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34a: Correlation vs. Sharpe ratio CPI-SQ3M: -0.55%, using SPY - 10-day look-ahead period</w:t>
      </w:r>
    </w:p>
    <w:p w14:paraId="0F165667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56A232A8" wp14:editId="277E31D9">
            <wp:extent cx="7052400" cy="4203700"/>
            <wp:effectExtent l="0" t="0" r="0" b="0"/>
            <wp:docPr id="193" name="image1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FD5F51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213EA595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Chart 34b: Correlation vs. Sharpe ratio CPI-SQ3M: -0.55%, using QQQ - 10-day look-ahead period</w:t>
      </w:r>
    </w:p>
    <w:p w14:paraId="7B6301F8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2F4B0B01" wp14:editId="6CF1EF8A">
            <wp:extent cx="7052400" cy="4203700"/>
            <wp:effectExtent l="0" t="0" r="0" b="0"/>
            <wp:docPr id="218" name="image2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4F73D1" w14:textId="77777777" w:rsidR="00D75F07" w:rsidRDefault="00D75F07">
      <w:pPr>
        <w:jc w:val="center"/>
        <w:rPr>
          <w:sz w:val="18"/>
          <w:szCs w:val="18"/>
        </w:rPr>
      </w:pPr>
    </w:p>
    <w:p w14:paraId="231AE1FC" w14:textId="77777777" w:rsidR="00D75F07" w:rsidRDefault="00D75F07">
      <w:pPr>
        <w:jc w:val="center"/>
        <w:rPr>
          <w:sz w:val="18"/>
          <w:szCs w:val="18"/>
        </w:rPr>
      </w:pPr>
    </w:p>
    <w:p w14:paraId="595C37D8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33: Correlation, beta, Sharpe ratio and recommended weights of hedges - CPI-SQ3M: -0.55% - 10-day look-ahead period</w:t>
      </w:r>
    </w:p>
    <w:p w14:paraId="41D73542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187F7A98" wp14:editId="6D8EDDA0">
            <wp:extent cx="7052400" cy="3606800"/>
            <wp:effectExtent l="0" t="0" r="0" b="0"/>
            <wp:docPr id="170" name="image1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22EC01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6EC4EA0E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Chart 35: PV - CPI-SQ3M: -0.55% - 10-day look-ahead period</w:t>
      </w:r>
    </w:p>
    <w:p w14:paraId="1354197E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1CD93D1C" wp14:editId="550A29EC">
            <wp:extent cx="7052400" cy="4216400"/>
            <wp:effectExtent l="0" t="0" r="0" b="0"/>
            <wp:docPr id="53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62BABC" w14:textId="77777777" w:rsidR="00D75F07" w:rsidRDefault="00D75F07">
      <w:pPr>
        <w:jc w:val="center"/>
        <w:rPr>
          <w:sz w:val="18"/>
          <w:szCs w:val="18"/>
        </w:rPr>
      </w:pPr>
    </w:p>
    <w:p w14:paraId="12A28E79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34: Performance indicators with and without hedges - CPI-SQ3M: -0.55% - 10-day look-ahead period</w:t>
      </w:r>
    </w:p>
    <w:p w14:paraId="01407913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01F718E8" wp14:editId="7F832B68">
            <wp:extent cx="5410200" cy="1485900"/>
            <wp:effectExtent l="0" t="0" r="0" b="0"/>
            <wp:docPr id="208" name="image2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717B76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199A2221" w14:textId="77777777" w:rsidR="00D75F07" w:rsidRDefault="00404909">
      <w:pPr>
        <w:jc w:val="both"/>
        <w:rPr>
          <w:sz w:val="18"/>
          <w:szCs w:val="18"/>
        </w:rPr>
      </w:pPr>
      <w:r>
        <w:rPr>
          <w:b/>
          <w:color w:val="38761D"/>
          <w:sz w:val="24"/>
          <w:szCs w:val="24"/>
        </w:rPr>
        <w:lastRenderedPageBreak/>
        <w:t>CPI-SQ3M: +0.5%, 10-day look-ahead period</w:t>
      </w:r>
    </w:p>
    <w:p w14:paraId="491C1D2C" w14:textId="77777777" w:rsidR="00D75F07" w:rsidRDefault="00D75F07">
      <w:pPr>
        <w:jc w:val="both"/>
        <w:rPr>
          <w:sz w:val="18"/>
          <w:szCs w:val="18"/>
        </w:rPr>
      </w:pPr>
    </w:p>
    <w:p w14:paraId="569806A0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36a: Correlation vs. Sharpe ratio CPI-SQ3M: +0.5%, using SPY - 10-day look-ahead period</w:t>
      </w:r>
    </w:p>
    <w:p w14:paraId="2142FDFF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66253EA6" wp14:editId="3DE15F9D">
            <wp:extent cx="7052400" cy="4203700"/>
            <wp:effectExtent l="0" t="0" r="0" b="0"/>
            <wp:docPr id="61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16D942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36b: Correlation vs. Sharpe ratio CPI-SQ3M: +0.5%, using QQQ - 10-day look-ahead period</w:t>
      </w:r>
    </w:p>
    <w:p w14:paraId="6199869A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114300" distB="114300" distL="114300" distR="114300" wp14:anchorId="0A1DE6CD" wp14:editId="382BF501">
            <wp:extent cx="7052400" cy="4203700"/>
            <wp:effectExtent l="0" t="0" r="0" b="0"/>
            <wp:docPr id="125" name="image1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CDA2AD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35: Correlation, beta, Sharpe ratio and recommended weights of hedges - CPI-SQ3M: +0.5% - 10-day look-ahead period</w:t>
      </w:r>
    </w:p>
    <w:p w14:paraId="40E6B3CB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0962F97D" wp14:editId="3509E6E2">
            <wp:extent cx="7052400" cy="3606800"/>
            <wp:effectExtent l="0" t="0" r="0" b="0"/>
            <wp:docPr id="94" name="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8C50A1" w14:textId="77777777" w:rsidR="00D75F07" w:rsidRDefault="00D75F07">
      <w:pPr>
        <w:jc w:val="center"/>
        <w:rPr>
          <w:sz w:val="18"/>
          <w:szCs w:val="18"/>
        </w:rPr>
      </w:pPr>
    </w:p>
    <w:p w14:paraId="3AFE212E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37: PV - CPI-SQ3M: +0.5% - 10-day look-ahead period</w:t>
      </w:r>
    </w:p>
    <w:p w14:paraId="424BC2BE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114300" distB="114300" distL="114300" distR="114300" wp14:anchorId="57EB47F6" wp14:editId="78349CBA">
            <wp:extent cx="7052400" cy="4216400"/>
            <wp:effectExtent l="0" t="0" r="0" b="0"/>
            <wp:docPr id="226" name="image2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2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7AD57A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565C9D15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Table 36: Performance indicators with and without hedges - CPI-SQ3M: +0.5% - 10-day look-ahead period</w:t>
      </w:r>
    </w:p>
    <w:p w14:paraId="3A0320E5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156D8F26" wp14:editId="271956C9">
            <wp:extent cx="5600700" cy="1495425"/>
            <wp:effectExtent l="0" t="0" r="0" b="0"/>
            <wp:docPr id="76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11CB1B" w14:textId="77777777" w:rsidR="00D75F07" w:rsidRDefault="00D75F07">
      <w:pPr>
        <w:jc w:val="center"/>
        <w:rPr>
          <w:sz w:val="18"/>
          <w:szCs w:val="18"/>
        </w:rPr>
      </w:pPr>
    </w:p>
    <w:p w14:paraId="36A9A373" w14:textId="77777777" w:rsidR="00D75F07" w:rsidRDefault="00D75F07">
      <w:pPr>
        <w:jc w:val="center"/>
        <w:rPr>
          <w:sz w:val="18"/>
          <w:szCs w:val="18"/>
        </w:rPr>
      </w:pPr>
    </w:p>
    <w:p w14:paraId="24F0480C" w14:textId="77777777" w:rsidR="00D75F07" w:rsidRDefault="00D75F07">
      <w:pPr>
        <w:jc w:val="center"/>
        <w:rPr>
          <w:sz w:val="18"/>
          <w:szCs w:val="18"/>
        </w:rPr>
      </w:pPr>
    </w:p>
    <w:p w14:paraId="3108C2F6" w14:textId="77777777" w:rsidR="00D75F07" w:rsidRDefault="00D75F07">
      <w:pPr>
        <w:jc w:val="center"/>
        <w:rPr>
          <w:sz w:val="18"/>
          <w:szCs w:val="18"/>
        </w:rPr>
      </w:pPr>
    </w:p>
    <w:p w14:paraId="382C1F99" w14:textId="77777777" w:rsidR="00D75F07" w:rsidRDefault="00404909">
      <w:pPr>
        <w:jc w:val="both"/>
        <w:rPr>
          <w:b/>
          <w:color w:val="38761D"/>
          <w:sz w:val="24"/>
          <w:szCs w:val="24"/>
        </w:rPr>
      </w:pPr>
      <w:r>
        <w:rPr>
          <w:b/>
          <w:color w:val="38761D"/>
          <w:sz w:val="24"/>
          <w:szCs w:val="24"/>
        </w:rPr>
        <w:t>CPI-SQ3M: +1.25%, 10-day look-ahead period</w:t>
      </w:r>
    </w:p>
    <w:p w14:paraId="0FC50E52" w14:textId="77777777" w:rsidR="00D75F07" w:rsidRDefault="00D75F07">
      <w:pPr>
        <w:jc w:val="both"/>
        <w:rPr>
          <w:b/>
          <w:color w:val="38761D"/>
          <w:sz w:val="24"/>
          <w:szCs w:val="24"/>
        </w:rPr>
      </w:pPr>
    </w:p>
    <w:p w14:paraId="15C31C2F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38a: Correlation vs. Sharpe ratio CPI-SQ3M: +1.25%, using SPY - 10-day look-ahead period</w:t>
      </w:r>
    </w:p>
    <w:p w14:paraId="791CF9FB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1223166B" wp14:editId="671FBF97">
            <wp:extent cx="7052400" cy="4203700"/>
            <wp:effectExtent l="0" t="0" r="0" b="0"/>
            <wp:docPr id="141" name="image1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3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AF1A40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438F040F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Chart 38b: Correlation vs. Sharpe ratio CPI-SQ3M: +1.25%, using QQQ - 10-day look-ahead period</w:t>
      </w:r>
    </w:p>
    <w:p w14:paraId="609B821F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4805F0F3" wp14:editId="26F9861A">
            <wp:extent cx="7052400" cy="4203700"/>
            <wp:effectExtent l="0" t="0" r="0" b="0"/>
            <wp:docPr id="4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DBD4D3" w14:textId="77777777" w:rsidR="00D75F07" w:rsidRDefault="00D75F07">
      <w:pPr>
        <w:jc w:val="center"/>
        <w:rPr>
          <w:sz w:val="18"/>
          <w:szCs w:val="18"/>
        </w:rPr>
      </w:pPr>
    </w:p>
    <w:p w14:paraId="34807C45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37: Correlation, beta, Sharpe ratio and recommended weights of hedges - CPI-SQ3M: +1.25% - 10-day look-ahead period</w:t>
      </w:r>
    </w:p>
    <w:p w14:paraId="402C1FD5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4D9A5588" wp14:editId="34D02430">
            <wp:extent cx="7052400" cy="3606800"/>
            <wp:effectExtent l="0" t="0" r="0" b="0"/>
            <wp:docPr id="191" name="image1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8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CE1421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37E72974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Chart 39: PV - CPI-SQ3M: +1.25% - 10-day look-ahead period</w:t>
      </w:r>
    </w:p>
    <w:p w14:paraId="3A2E1D89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300920DA" wp14:editId="693E15BF">
            <wp:extent cx="7052400" cy="4216400"/>
            <wp:effectExtent l="0" t="0" r="0" b="0"/>
            <wp:docPr id="60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2FD4CF" w14:textId="77777777" w:rsidR="00D75F07" w:rsidRDefault="00D75F07">
      <w:pPr>
        <w:jc w:val="center"/>
        <w:rPr>
          <w:sz w:val="18"/>
          <w:szCs w:val="18"/>
        </w:rPr>
      </w:pPr>
    </w:p>
    <w:p w14:paraId="4403B9FA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38: Performance indicators with and without hedges - CPI-SQ3M: +1.25% - 10-day look-ahead period</w:t>
      </w:r>
    </w:p>
    <w:p w14:paraId="5E028F2C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0DD53654" wp14:editId="4791E43F">
            <wp:extent cx="5600700" cy="1495425"/>
            <wp:effectExtent l="0" t="0" r="0" b="0"/>
            <wp:docPr id="211" name="image2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2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3B85A5" w14:textId="77777777" w:rsidR="00D75F07" w:rsidRDefault="00D75F07">
      <w:pPr>
        <w:jc w:val="center"/>
        <w:rPr>
          <w:sz w:val="18"/>
          <w:szCs w:val="18"/>
        </w:rPr>
      </w:pPr>
    </w:p>
    <w:p w14:paraId="3D82CBAE" w14:textId="77777777" w:rsidR="00D75F07" w:rsidRDefault="00D75F07">
      <w:pPr>
        <w:jc w:val="center"/>
        <w:rPr>
          <w:sz w:val="18"/>
          <w:szCs w:val="18"/>
        </w:rPr>
      </w:pPr>
    </w:p>
    <w:p w14:paraId="5DCCA9A7" w14:textId="77777777" w:rsidR="00D75F07" w:rsidRDefault="00404909">
      <w:pPr>
        <w:jc w:val="both"/>
        <w:rPr>
          <w:b/>
          <w:color w:val="38761D"/>
          <w:sz w:val="24"/>
          <w:szCs w:val="24"/>
        </w:rPr>
      </w:pPr>
      <w:r>
        <w:br w:type="page"/>
      </w:r>
    </w:p>
    <w:p w14:paraId="0F954489" w14:textId="77777777" w:rsidR="00D75F07" w:rsidRDefault="00404909">
      <w:pPr>
        <w:jc w:val="both"/>
        <w:rPr>
          <w:sz w:val="18"/>
          <w:szCs w:val="18"/>
        </w:rPr>
      </w:pPr>
      <w:r>
        <w:rPr>
          <w:b/>
          <w:color w:val="38761D"/>
          <w:sz w:val="24"/>
          <w:szCs w:val="24"/>
        </w:rPr>
        <w:lastRenderedPageBreak/>
        <w:t>CPI-SQ3M: -0.55%, 1-month look-ahead period</w:t>
      </w:r>
    </w:p>
    <w:p w14:paraId="6C72FF94" w14:textId="77777777" w:rsidR="00D75F07" w:rsidRDefault="00D75F07">
      <w:pPr>
        <w:jc w:val="center"/>
        <w:rPr>
          <w:sz w:val="18"/>
          <w:szCs w:val="18"/>
        </w:rPr>
      </w:pPr>
    </w:p>
    <w:p w14:paraId="12C3B95E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40a: Correlation vs. Sharpe ratio CPI-SQ3M: -0.55%, using SPY - 1-month look-ahead period</w:t>
      </w:r>
    </w:p>
    <w:p w14:paraId="79AB1480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42EE1369" wp14:editId="426B8AC5">
            <wp:extent cx="7052400" cy="4203700"/>
            <wp:effectExtent l="0" t="0" r="0" b="0"/>
            <wp:docPr id="156" name="image1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8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3E6C09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40b: Correlation vs. Sharpe ratio CPI-SQ3M: -0.55%, using QQQ - 1-month look-ahead period</w:t>
      </w:r>
    </w:p>
    <w:p w14:paraId="7CC360B8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114300" distB="114300" distL="114300" distR="114300" wp14:anchorId="32B7896D" wp14:editId="461FD69D">
            <wp:extent cx="7052400" cy="4203700"/>
            <wp:effectExtent l="0" t="0" r="0" b="0"/>
            <wp:docPr id="33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626FAC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39: Correlation, beta, Sharpe ratio and recommended weights of hedges - CPI-SQ3M: -0.55% - 1-month look-ahead period</w:t>
      </w:r>
    </w:p>
    <w:p w14:paraId="51630B00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4E7931D5" wp14:editId="1A798854">
            <wp:extent cx="7052400" cy="3619500"/>
            <wp:effectExtent l="0" t="0" r="0" b="0"/>
            <wp:docPr id="84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A9E008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41: PV - CPI-SQ3M: -0.55% - 1-month look-ahead period</w:t>
      </w:r>
    </w:p>
    <w:p w14:paraId="1304755D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114300" distB="114300" distL="114300" distR="114300" wp14:anchorId="436FD116" wp14:editId="33B51947">
            <wp:extent cx="7052400" cy="4216400"/>
            <wp:effectExtent l="0" t="0" r="0" b="0"/>
            <wp:docPr id="195" name="image1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2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173E30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6FB98343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Table 40: Performance indicators with and without hedges - CPI-SQ3M: -0.55% - 1-month look-ahead period</w:t>
      </w:r>
    </w:p>
    <w:p w14:paraId="3AED9AA6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45977BEE" wp14:editId="5F7A29B5">
            <wp:extent cx="5391150" cy="1485900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52AF24" w14:textId="77777777" w:rsidR="00D75F07" w:rsidRDefault="00D75F07">
      <w:pPr>
        <w:jc w:val="center"/>
        <w:rPr>
          <w:sz w:val="18"/>
          <w:szCs w:val="18"/>
        </w:rPr>
      </w:pPr>
    </w:p>
    <w:p w14:paraId="2715D3F1" w14:textId="77777777" w:rsidR="00D75F07" w:rsidRDefault="00D75F07">
      <w:pPr>
        <w:jc w:val="center"/>
        <w:rPr>
          <w:sz w:val="18"/>
          <w:szCs w:val="18"/>
        </w:rPr>
      </w:pPr>
    </w:p>
    <w:p w14:paraId="0B70928E" w14:textId="77777777" w:rsidR="00D75F07" w:rsidRDefault="00D75F07">
      <w:pPr>
        <w:jc w:val="center"/>
        <w:rPr>
          <w:sz w:val="18"/>
          <w:szCs w:val="18"/>
        </w:rPr>
      </w:pPr>
    </w:p>
    <w:p w14:paraId="78B3086E" w14:textId="77777777" w:rsidR="00D75F07" w:rsidRDefault="00D75F07">
      <w:pPr>
        <w:jc w:val="center"/>
        <w:rPr>
          <w:sz w:val="18"/>
          <w:szCs w:val="18"/>
        </w:rPr>
      </w:pPr>
    </w:p>
    <w:p w14:paraId="075762AB" w14:textId="77777777" w:rsidR="00D75F07" w:rsidRDefault="00404909">
      <w:pPr>
        <w:jc w:val="both"/>
        <w:rPr>
          <w:sz w:val="18"/>
          <w:szCs w:val="18"/>
        </w:rPr>
      </w:pPr>
      <w:r>
        <w:rPr>
          <w:b/>
          <w:color w:val="38761D"/>
          <w:sz w:val="24"/>
          <w:szCs w:val="24"/>
        </w:rPr>
        <w:t>CPI-SQ3M: +0.5%, 1-month look-ahead period</w:t>
      </w:r>
    </w:p>
    <w:p w14:paraId="3E70F397" w14:textId="77777777" w:rsidR="00D75F07" w:rsidRDefault="00D75F07">
      <w:pPr>
        <w:jc w:val="center"/>
        <w:rPr>
          <w:sz w:val="18"/>
          <w:szCs w:val="18"/>
        </w:rPr>
      </w:pPr>
    </w:p>
    <w:p w14:paraId="0E3DCDE9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42a: Correlation vs. Sharpe ratio CPI-SQ3M: +0.5%, using SPY - 1-month look-ahead period</w:t>
      </w:r>
    </w:p>
    <w:p w14:paraId="74112641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6C9EF332" wp14:editId="28E4BB54">
            <wp:extent cx="7052400" cy="4203700"/>
            <wp:effectExtent l="0" t="0" r="0" b="0"/>
            <wp:docPr id="220" name="image2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4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F577CF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74022520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Chart 42b: Correlation vs. Sharpe ratio CPI-SQ3M: +0.5%, using QQQ - 1-month look-ahead period</w:t>
      </w:r>
    </w:p>
    <w:p w14:paraId="1157302B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69F34A39" wp14:editId="35735C34">
            <wp:extent cx="7052400" cy="4203700"/>
            <wp:effectExtent l="0" t="0" r="0" b="0"/>
            <wp:docPr id="73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DF98B1" w14:textId="77777777" w:rsidR="00D75F07" w:rsidRDefault="00D75F07">
      <w:pPr>
        <w:jc w:val="center"/>
        <w:rPr>
          <w:sz w:val="18"/>
          <w:szCs w:val="18"/>
        </w:rPr>
      </w:pPr>
    </w:p>
    <w:p w14:paraId="14F1AB8D" w14:textId="77777777" w:rsidR="00D75F07" w:rsidRDefault="00D75F07">
      <w:pPr>
        <w:jc w:val="center"/>
        <w:rPr>
          <w:sz w:val="18"/>
          <w:szCs w:val="18"/>
        </w:rPr>
      </w:pPr>
    </w:p>
    <w:p w14:paraId="164EED42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41: Correlation, beta, Sharpe ratio and recommended weights of hedges - CPI-SQ3M: +0.5% - 1-month look-ahead period</w:t>
      </w:r>
    </w:p>
    <w:p w14:paraId="6CF0B6D2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25A4F528" wp14:editId="445DD733">
            <wp:extent cx="7052400" cy="3619500"/>
            <wp:effectExtent l="0" t="0" r="0" b="0"/>
            <wp:docPr id="174" name="image1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5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A278D1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1901E4BC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Chart 43: PV - CPI-SQ3M: +0.5% - 1-month look-ahead period</w:t>
      </w:r>
    </w:p>
    <w:p w14:paraId="78B0CEF8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5F1586EF" wp14:editId="57E65CA2">
            <wp:extent cx="7052400" cy="4216400"/>
            <wp:effectExtent l="0" t="0" r="0" b="0"/>
            <wp:docPr id="213" name="image2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0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00F5A8" w14:textId="77777777" w:rsidR="00D75F07" w:rsidRDefault="00D75F07">
      <w:pPr>
        <w:jc w:val="center"/>
        <w:rPr>
          <w:sz w:val="18"/>
          <w:szCs w:val="18"/>
        </w:rPr>
      </w:pPr>
    </w:p>
    <w:p w14:paraId="69DD07B8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42: Performance indicators with and without hedges - CPI-SQ3M: +0.5% - 1-month look-ahead period</w:t>
      </w:r>
    </w:p>
    <w:p w14:paraId="5F7E07F1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3B7C9C93" wp14:editId="368F988E">
            <wp:extent cx="5600700" cy="1495425"/>
            <wp:effectExtent l="0" t="0" r="0" b="0"/>
            <wp:docPr id="162" name="image1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2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038A30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7FD8FA8C" w14:textId="77777777" w:rsidR="00D75F07" w:rsidRDefault="00404909">
      <w:pPr>
        <w:jc w:val="both"/>
        <w:rPr>
          <w:sz w:val="18"/>
          <w:szCs w:val="18"/>
        </w:rPr>
      </w:pPr>
      <w:r>
        <w:rPr>
          <w:b/>
          <w:color w:val="38761D"/>
          <w:sz w:val="24"/>
          <w:szCs w:val="24"/>
        </w:rPr>
        <w:lastRenderedPageBreak/>
        <w:t>CPI-SQ3M: +1.25%, 1-month look-ahead period</w:t>
      </w:r>
    </w:p>
    <w:p w14:paraId="4210C605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44a: Correlation vs. Sharpe ratio CPI-SQ3M: +1.25%, using SPY - 1-month look-ahead period</w:t>
      </w:r>
    </w:p>
    <w:p w14:paraId="18898842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3DDC61AB" wp14:editId="4A9BAE0B">
            <wp:extent cx="7052400" cy="4203700"/>
            <wp:effectExtent l="0" t="0" r="0" b="0"/>
            <wp:docPr id="228" name="image2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1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3D08AA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44b: Correlation vs. Sharpe ratio CPI-SQ3M: +1.25%, using QQQ - 1-month look-ahead period</w:t>
      </w:r>
    </w:p>
    <w:p w14:paraId="138266E9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5170BC6E" wp14:editId="6CF99908">
            <wp:extent cx="7052400" cy="4203700"/>
            <wp:effectExtent l="0" t="0" r="0" b="0"/>
            <wp:docPr id="225" name="image2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0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B2A395" w14:textId="77777777" w:rsidR="00D75F07" w:rsidRDefault="00404909">
      <w:pPr>
        <w:jc w:val="center"/>
        <w:rPr>
          <w:sz w:val="18"/>
          <w:szCs w:val="18"/>
        </w:rPr>
      </w:pPr>
      <w:r>
        <w:lastRenderedPageBreak/>
        <w:br w:type="page"/>
      </w:r>
    </w:p>
    <w:p w14:paraId="3C3A41AD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Table 43: Correlation, beta, Sharpe ratio and recommended weights of hedges - CPI-SQ3M: +1.25% - 1-month look-ahead period</w:t>
      </w:r>
    </w:p>
    <w:p w14:paraId="21F66CAE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3E70B647" wp14:editId="050D8AB4">
            <wp:extent cx="7052400" cy="3606800"/>
            <wp:effectExtent l="0" t="0" r="0" b="0"/>
            <wp:docPr id="214" name="image2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1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B41918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45: PV - CPI-SQ3M: +1.25% - 1-month look-ahead period</w:t>
      </w:r>
    </w:p>
    <w:p w14:paraId="693364F0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738EC4C0" wp14:editId="471EDDC7">
            <wp:extent cx="7052400" cy="4216400"/>
            <wp:effectExtent l="0" t="0" r="0" b="0"/>
            <wp:docPr id="223" name="image2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0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B4465E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65FC75AA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Table 44: Performance indicators with and without hedges - CPI-SQ3M: +1.25% - 1-month look-ahead period</w:t>
      </w:r>
    </w:p>
    <w:p w14:paraId="213ADBCB" w14:textId="3308FA34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062F0805" wp14:editId="55534A6F">
            <wp:extent cx="5600700" cy="1495425"/>
            <wp:effectExtent l="0" t="0" r="0" b="0"/>
            <wp:docPr id="105" name="image1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75F07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2240" w:h="15840"/>
      <w:pgMar w:top="566" w:right="566" w:bottom="566" w:left="566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08222C" w14:textId="77777777" w:rsidR="001A1DBB" w:rsidRDefault="001A1DBB">
      <w:pPr>
        <w:spacing w:line="240" w:lineRule="auto"/>
      </w:pPr>
      <w:r>
        <w:separator/>
      </w:r>
    </w:p>
  </w:endnote>
  <w:endnote w:type="continuationSeparator" w:id="0">
    <w:p w14:paraId="76D8E4D8" w14:textId="77777777" w:rsidR="001A1DBB" w:rsidRDefault="001A1D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1DC0D" w14:textId="77777777" w:rsidR="00051511" w:rsidRDefault="000515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F60996" w14:textId="77777777" w:rsidR="00D75F07" w:rsidRDefault="00404909">
    <w:pPr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>
      <w:fldChar w:fldCharType="separate"/>
    </w:r>
    <w:r w:rsidR="00051511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25F2BF" w14:textId="77777777" w:rsidR="00051511" w:rsidRDefault="000515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25EE92" w14:textId="77777777" w:rsidR="001A1DBB" w:rsidRDefault="001A1DBB">
      <w:pPr>
        <w:spacing w:line="240" w:lineRule="auto"/>
      </w:pPr>
      <w:r>
        <w:separator/>
      </w:r>
    </w:p>
  </w:footnote>
  <w:footnote w:type="continuationSeparator" w:id="0">
    <w:p w14:paraId="463BDE83" w14:textId="77777777" w:rsidR="001A1DBB" w:rsidRDefault="001A1DB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17F50F" w14:textId="77777777" w:rsidR="00051511" w:rsidRDefault="000515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85E42" w14:textId="2848A040" w:rsidR="00D75F07" w:rsidRDefault="00404909">
    <w:pPr>
      <w:pBdr>
        <w:top w:val="nil"/>
        <w:left w:val="nil"/>
        <w:bottom w:val="nil"/>
        <w:right w:val="nil"/>
        <w:between w:val="nil"/>
      </w:pBdr>
    </w:pPr>
    <w:r>
      <w:t>Hedges and Correlations</w:t>
    </w:r>
    <w:r>
      <w:tab/>
    </w:r>
    <w:r>
      <w:tab/>
    </w:r>
    <w:r>
      <w:tab/>
      <w:t xml:space="preserve">by </w:t>
    </w:r>
    <w:r w:rsidR="00051511">
      <w:t>George Antal</w:t>
    </w:r>
    <w:r>
      <w:t xml:space="preserve">, 3DClick Ltd. </w:t>
    </w:r>
    <w:r>
      <w:tab/>
    </w:r>
    <w:r>
      <w:tab/>
    </w:r>
    <w:r>
      <w:tab/>
      <w:t xml:space="preserve">  2021-0</w:t>
    </w:r>
    <w:r w:rsidR="00B12321">
      <w:t>4</w:t>
    </w:r>
    <w:r w:rsidR="00051511">
      <w:t>-01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56A87" w14:textId="77777777" w:rsidR="00051511" w:rsidRDefault="000515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C1DE5"/>
    <w:multiLevelType w:val="multilevel"/>
    <w:tmpl w:val="05201D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AF46A0"/>
    <w:multiLevelType w:val="multilevel"/>
    <w:tmpl w:val="661EE2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2B9224D"/>
    <w:multiLevelType w:val="multilevel"/>
    <w:tmpl w:val="546AEC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6337FF6"/>
    <w:multiLevelType w:val="multilevel"/>
    <w:tmpl w:val="A18857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F541B68"/>
    <w:multiLevelType w:val="multilevel"/>
    <w:tmpl w:val="1A2664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76B5B4C"/>
    <w:multiLevelType w:val="multilevel"/>
    <w:tmpl w:val="5692A3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94157D9"/>
    <w:multiLevelType w:val="multilevel"/>
    <w:tmpl w:val="DB0046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D0C645E"/>
    <w:multiLevelType w:val="multilevel"/>
    <w:tmpl w:val="48CAD3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BD92EF8"/>
    <w:multiLevelType w:val="multilevel"/>
    <w:tmpl w:val="14E265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34E3E5E"/>
    <w:multiLevelType w:val="multilevel"/>
    <w:tmpl w:val="B49EBE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9504A70"/>
    <w:multiLevelType w:val="multilevel"/>
    <w:tmpl w:val="B8504A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7"/>
  </w:num>
  <w:num w:numId="5">
    <w:abstractNumId w:val="5"/>
  </w:num>
  <w:num w:numId="6">
    <w:abstractNumId w:val="1"/>
  </w:num>
  <w:num w:numId="7">
    <w:abstractNumId w:val="0"/>
  </w:num>
  <w:num w:numId="8">
    <w:abstractNumId w:val="6"/>
  </w:num>
  <w:num w:numId="9">
    <w:abstractNumId w:val="10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F07"/>
    <w:rsid w:val="00051511"/>
    <w:rsid w:val="001A1DBB"/>
    <w:rsid w:val="00404909"/>
    <w:rsid w:val="00B12321"/>
    <w:rsid w:val="00D75F07"/>
    <w:rsid w:val="00FC4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E451D"/>
  <w15:docId w15:val="{9B6D663F-34B3-4740-856C-0DBD0607D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5151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511"/>
  </w:style>
  <w:style w:type="paragraph" w:styleId="Footer">
    <w:name w:val="footer"/>
    <w:basedOn w:val="Normal"/>
    <w:link w:val="FooterChar"/>
    <w:uiPriority w:val="99"/>
    <w:unhideWhenUsed/>
    <w:rsid w:val="0005151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5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1.xml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spreadsheets/d/10PSZudUNOmvMYyppYgSXpLDwrQMRf-zb2i573dDxXdA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eader" Target="header2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1563</Words>
  <Characters>8911</Characters>
  <Application>Microsoft Office Word</Application>
  <DocSecurity>0</DocSecurity>
  <Lines>74</Lines>
  <Paragraphs>20</Paragraphs>
  <ScaleCrop>false</ScaleCrop>
  <Company/>
  <LinksUpToDate>false</LinksUpToDate>
  <CharactersWithSpaces>10454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dr. Gyorgy Antal</cp:lastModifiedBy>
  <cp:revision>4</cp:revision>
  <dcterms:created xsi:type="dcterms:W3CDTF">2021-06-08T14:12:00Z</dcterms:created>
  <dcterms:modified xsi:type="dcterms:W3CDTF">2021-06-08T14:24:00Z</dcterms:modified>
</cp:coreProperties>
</file>