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2E13EE" w14:textId="77777777" w:rsidR="00051511" w:rsidRDefault="00051511" w:rsidP="00051511">
      <w:pPr>
        <w:pStyle w:val="Title"/>
        <w:pBdr>
          <w:top w:val="nil"/>
          <w:left w:val="nil"/>
          <w:bottom w:val="nil"/>
          <w:right w:val="nil"/>
          <w:between w:val="nil"/>
        </w:pBdr>
        <w:jc w:val="center"/>
        <w:rPr>
          <w:b/>
          <w:color w:val="0000FF"/>
        </w:rPr>
      </w:pPr>
      <w:bookmarkStart w:id="0" w:name="_b1y0q5med62k" w:colFirst="0" w:colLast="0"/>
      <w:bookmarkEnd w:id="0"/>
    </w:p>
    <w:p w14:paraId="28BF780A" w14:textId="77777777" w:rsidR="00051511" w:rsidRDefault="00051511" w:rsidP="00051511">
      <w:pPr>
        <w:jc w:val="center"/>
      </w:pPr>
      <w:r>
        <w:t>Dr. George Antal</w:t>
      </w:r>
    </w:p>
    <w:p w14:paraId="546CE4A8" w14:textId="77777777" w:rsidR="00051511" w:rsidRDefault="00051511" w:rsidP="00051511">
      <w:pPr>
        <w:jc w:val="center"/>
      </w:pPr>
      <w:r>
        <w:t>3D Click Limited</w:t>
      </w:r>
    </w:p>
    <w:p w14:paraId="708CF6BE" w14:textId="77777777" w:rsidR="00051511" w:rsidRDefault="00051511" w:rsidP="00051511">
      <w:pPr>
        <w:jc w:val="center"/>
      </w:pPr>
      <w:r>
        <w:t>c/o Suite 431, 28 Old Brompton Road, London SW7 3SS</w:t>
      </w:r>
    </w:p>
    <w:p w14:paraId="6AE2BE92" w14:textId="77777777" w:rsidR="00051511" w:rsidRPr="00BF4644" w:rsidRDefault="00051511" w:rsidP="00051511"/>
    <w:p w14:paraId="43DF0776" w14:textId="77777777" w:rsidR="00051511" w:rsidRDefault="00051511">
      <w:pPr>
        <w:pStyle w:val="Title"/>
        <w:spacing w:after="800"/>
        <w:jc w:val="center"/>
        <w:rPr>
          <w:b/>
          <w:color w:val="0000FF"/>
        </w:rPr>
      </w:pPr>
    </w:p>
    <w:p w14:paraId="4E9D93F3" w14:textId="0AA054BA" w:rsidR="00D75F07" w:rsidRDefault="00404909">
      <w:pPr>
        <w:pStyle w:val="Title"/>
        <w:spacing w:after="800"/>
        <w:jc w:val="center"/>
      </w:pPr>
      <w:r>
        <w:rPr>
          <w:b/>
          <w:color w:val="0000FF"/>
        </w:rPr>
        <w:t>Hedges and Correlations</w:t>
      </w:r>
    </w:p>
    <w:p w14:paraId="0823D075" w14:textId="2FB01075" w:rsidR="00D75F07" w:rsidRDefault="00D75F07">
      <w:pPr>
        <w:jc w:val="center"/>
        <w:rPr>
          <w:sz w:val="18"/>
          <w:szCs w:val="18"/>
        </w:rPr>
      </w:pPr>
      <w:bookmarkStart w:id="1" w:name="_krjiv4llcnno" w:colFirst="0" w:colLast="0"/>
      <w:bookmarkEnd w:id="1"/>
    </w:p>
    <w:p w14:paraId="6100D0C6" w14:textId="77777777" w:rsidR="00D75F07" w:rsidRDefault="00404909">
      <w:pPr>
        <w:pStyle w:val="Heading3"/>
        <w:jc w:val="both"/>
        <w:rPr>
          <w:sz w:val="28"/>
          <w:szCs w:val="28"/>
        </w:rPr>
      </w:pPr>
      <w:bookmarkStart w:id="2" w:name="_7jw5fau6wtnk" w:colFirst="0" w:colLast="0"/>
      <w:bookmarkEnd w:id="2"/>
      <w:r>
        <w:rPr>
          <w:sz w:val="28"/>
          <w:szCs w:val="28"/>
        </w:rPr>
        <w:t>Case studies for Excess Earnings Yield in practice</w:t>
      </w:r>
    </w:p>
    <w:p w14:paraId="77562593" w14:textId="77777777" w:rsidR="00D75F07" w:rsidRDefault="00D75F07"/>
    <w:p w14:paraId="3EEC7CF3" w14:textId="77777777" w:rsidR="00D75F07" w:rsidRDefault="00404909">
      <w:pPr>
        <w:jc w:val="both"/>
      </w:pPr>
      <w:r>
        <w:t xml:space="preserve">In this subsection, case studies for </w:t>
      </w:r>
      <w:r>
        <w:rPr>
          <w:b/>
        </w:rPr>
        <w:t>Excess Earnings Yield (EY-R10YEY) indicator</w:t>
      </w:r>
      <w:r>
        <w:t xml:space="preserve"> is presented. After taking a look at Chart 66 one can conclude that </w:t>
      </w:r>
      <w:r>
        <w:rPr>
          <w:b/>
        </w:rPr>
        <w:t xml:space="preserve">our simple rolling correlation calculation method used above will not be a perfect one for Excess Earnings </w:t>
      </w:r>
      <w:proofErr w:type="spellStart"/>
      <w:r>
        <w:rPr>
          <w:b/>
        </w:rPr>
        <w:t>YIeld</w:t>
      </w:r>
      <w:proofErr w:type="spellEnd"/>
      <w:r>
        <w:rPr>
          <w:b/>
        </w:rPr>
        <w:t xml:space="preserve"> either</w:t>
      </w:r>
      <w:r>
        <w:t xml:space="preserve">, as </w:t>
      </w:r>
      <w:r>
        <w:rPr>
          <w:b/>
        </w:rPr>
        <w:t>the distribution of its level is not even</w:t>
      </w:r>
      <w:r>
        <w:t xml:space="preserve">. </w:t>
      </w:r>
    </w:p>
    <w:p w14:paraId="11825C8F" w14:textId="77777777" w:rsidR="00D75F07" w:rsidRDefault="00D75F07">
      <w:pPr>
        <w:jc w:val="both"/>
      </w:pPr>
    </w:p>
    <w:p w14:paraId="51258B1A" w14:textId="77777777" w:rsidR="00D75F07" w:rsidRDefault="00404909">
      <w:pPr>
        <w:jc w:val="both"/>
      </w:pPr>
      <w:r>
        <w:t xml:space="preserve">We have to </w:t>
      </w:r>
      <w:r>
        <w:rPr>
          <w:b/>
        </w:rPr>
        <w:t>define the lower and upper bounds separately for each Excess Earnings Yield level again to obtain enough sample size</w:t>
      </w:r>
      <w:r>
        <w:t xml:space="preserve">. Chart 67 shows these bounds and the distribution of these accumulated number of cases. </w:t>
      </w:r>
      <w:r>
        <w:rPr>
          <w:b/>
        </w:rPr>
        <w:t>After that modification, the method is the same as before.</w:t>
      </w:r>
      <w:r>
        <w:t xml:space="preserve"> </w:t>
      </w:r>
    </w:p>
    <w:p w14:paraId="28564448" w14:textId="77777777" w:rsidR="00D75F07" w:rsidRDefault="00D75F07">
      <w:pPr>
        <w:jc w:val="both"/>
      </w:pPr>
    </w:p>
    <w:p w14:paraId="10863DD9" w14:textId="77777777" w:rsidR="00D75F07" w:rsidRDefault="00404909">
      <w:pPr>
        <w:jc w:val="center"/>
      </w:pPr>
      <w:r>
        <w:rPr>
          <w:sz w:val="18"/>
          <w:szCs w:val="18"/>
        </w:rPr>
        <w:t>Chart 66: Level of Excess Earnings Yield</w:t>
      </w:r>
    </w:p>
    <w:p w14:paraId="08FF7072" w14:textId="77777777" w:rsidR="00D75F07" w:rsidRDefault="00404909">
      <w:pPr>
        <w:jc w:val="both"/>
      </w:pPr>
      <w:r>
        <w:rPr>
          <w:noProof/>
        </w:rPr>
        <w:lastRenderedPageBreak/>
        <w:drawing>
          <wp:inline distT="114300" distB="114300" distL="114300" distR="114300" wp14:anchorId="672048FD" wp14:editId="5C9CF88F">
            <wp:extent cx="7052400" cy="4152900"/>
            <wp:effectExtent l="0" t="0" r="0" b="0"/>
            <wp:docPr id="184"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7"/>
                    <a:srcRect/>
                    <a:stretch>
                      <a:fillRect/>
                    </a:stretch>
                  </pic:blipFill>
                  <pic:spPr>
                    <a:xfrm>
                      <a:off x="0" y="0"/>
                      <a:ext cx="7052400" cy="4152900"/>
                    </a:xfrm>
                    <a:prstGeom prst="rect">
                      <a:avLst/>
                    </a:prstGeom>
                    <a:ln/>
                  </pic:spPr>
                </pic:pic>
              </a:graphicData>
            </a:graphic>
          </wp:inline>
        </w:drawing>
      </w:r>
    </w:p>
    <w:p w14:paraId="4A898B3F" w14:textId="77777777" w:rsidR="00D75F07" w:rsidRDefault="00404909">
      <w:pPr>
        <w:jc w:val="center"/>
        <w:rPr>
          <w:sz w:val="18"/>
          <w:szCs w:val="18"/>
        </w:rPr>
      </w:pPr>
      <w:r>
        <w:br w:type="page"/>
      </w:r>
    </w:p>
    <w:p w14:paraId="19AFD4D1" w14:textId="77777777" w:rsidR="00D75F07" w:rsidRDefault="00404909">
      <w:pPr>
        <w:jc w:val="center"/>
      </w:pPr>
      <w:r>
        <w:rPr>
          <w:sz w:val="18"/>
          <w:szCs w:val="18"/>
        </w:rPr>
        <w:lastRenderedPageBreak/>
        <w:t>Chart 67: Lower and Upper Bounds and Distribution of Accumulated Number of Cases</w:t>
      </w:r>
    </w:p>
    <w:p w14:paraId="0984231B" w14:textId="77777777" w:rsidR="00D75F07" w:rsidRDefault="00404909">
      <w:pPr>
        <w:jc w:val="both"/>
      </w:pPr>
      <w:r>
        <w:rPr>
          <w:noProof/>
        </w:rPr>
        <w:drawing>
          <wp:inline distT="114300" distB="114300" distL="114300" distR="114300" wp14:anchorId="0CF88050" wp14:editId="345F21EE">
            <wp:extent cx="7052400" cy="44196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7052400" cy="4419600"/>
                    </a:xfrm>
                    <a:prstGeom prst="rect">
                      <a:avLst/>
                    </a:prstGeom>
                    <a:ln/>
                  </pic:spPr>
                </pic:pic>
              </a:graphicData>
            </a:graphic>
          </wp:inline>
        </w:drawing>
      </w:r>
    </w:p>
    <w:p w14:paraId="2D4379BC" w14:textId="77777777" w:rsidR="00D75F07" w:rsidRDefault="00D75F07">
      <w:pPr>
        <w:jc w:val="both"/>
      </w:pPr>
    </w:p>
    <w:p w14:paraId="10A1DA3F" w14:textId="77777777" w:rsidR="00D75F07" w:rsidRDefault="00404909">
      <w:pPr>
        <w:jc w:val="both"/>
      </w:pPr>
      <w:r>
        <w:t>In this part of the study, we examine:</w:t>
      </w:r>
    </w:p>
    <w:p w14:paraId="2C3E582A" w14:textId="77777777" w:rsidR="00D75F07" w:rsidRDefault="00404909">
      <w:pPr>
        <w:numPr>
          <w:ilvl w:val="0"/>
          <w:numId w:val="10"/>
        </w:numPr>
        <w:jc w:val="both"/>
        <w:rPr>
          <w:b/>
        </w:rPr>
      </w:pPr>
      <w:r>
        <w:rPr>
          <w:b/>
        </w:rPr>
        <w:t xml:space="preserve">2 </w:t>
      </w:r>
      <w:proofErr w:type="spellStart"/>
      <w:r>
        <w:rPr>
          <w:b/>
        </w:rPr>
        <w:t>hedgeable</w:t>
      </w:r>
      <w:proofErr w:type="spellEnd"/>
      <w:r>
        <w:rPr>
          <w:b/>
        </w:rPr>
        <w:t xml:space="preserve"> ‘portfolio’: long SPY and long QQQ;</w:t>
      </w:r>
    </w:p>
    <w:p w14:paraId="6EC8FC5A" w14:textId="77777777" w:rsidR="00D75F07" w:rsidRDefault="00404909">
      <w:pPr>
        <w:numPr>
          <w:ilvl w:val="0"/>
          <w:numId w:val="10"/>
        </w:numPr>
        <w:jc w:val="both"/>
        <w:rPr>
          <w:b/>
        </w:rPr>
      </w:pPr>
      <w:r>
        <w:rPr>
          <w:b/>
        </w:rPr>
        <w:t>3 different EY-R10YEY level: -0.5% (negative excess earnings yield), +3.8% (the median from 2004 to 2020) and +6.5% (extreme high excess earnings yield);</w:t>
      </w:r>
    </w:p>
    <w:p w14:paraId="2F85F245" w14:textId="77777777" w:rsidR="00D75F07" w:rsidRDefault="00404909">
      <w:pPr>
        <w:numPr>
          <w:ilvl w:val="0"/>
          <w:numId w:val="10"/>
        </w:numPr>
        <w:jc w:val="both"/>
        <w:rPr>
          <w:b/>
        </w:rPr>
      </w:pPr>
      <w:r>
        <w:rPr>
          <w:b/>
        </w:rPr>
        <w:t>3 different look-ahead periods: 5-day, 10-day and 1-month.</w:t>
      </w:r>
    </w:p>
    <w:p w14:paraId="40AC185C" w14:textId="77777777" w:rsidR="00D75F07" w:rsidRDefault="00D75F07">
      <w:pPr>
        <w:jc w:val="both"/>
      </w:pPr>
    </w:p>
    <w:p w14:paraId="252F4C5A" w14:textId="77777777" w:rsidR="00D75F07" w:rsidRDefault="00404909">
      <w:pPr>
        <w:jc w:val="both"/>
      </w:pPr>
      <w:r>
        <w:t xml:space="preserve">In each </w:t>
      </w:r>
      <w:r>
        <w:rPr>
          <w:b/>
        </w:rPr>
        <w:t>nine cases (3 EY-R10YEY x 3 look-ahead)</w:t>
      </w:r>
      <w:r>
        <w:t>, at first, the</w:t>
      </w:r>
      <w:r>
        <w:rPr>
          <w:b/>
        </w:rPr>
        <w:t xml:space="preserve"> scatter plot of correlation vs. Sharpe ratio</w:t>
      </w:r>
      <w:r>
        <w:t xml:space="preserve"> can be seen (e.g. Chart 68a-b), which helps us to</w:t>
      </w:r>
      <w:r>
        <w:rPr>
          <w:b/>
        </w:rPr>
        <w:t xml:space="preserve"> select the most promising hedges</w:t>
      </w:r>
      <w:r>
        <w:t xml:space="preserve"> (significantly negative correlation and positive Sharpe ratio and/or significantly positive correlation and negative Sharpe ratio (short)). After that, a table can be found (e.g. Table 63) which contains </w:t>
      </w:r>
      <w:r>
        <w:rPr>
          <w:b/>
        </w:rPr>
        <w:t>not only the correlation coefficients for every hedge, but the beta compared to the SPY/QQQ</w:t>
      </w:r>
      <w:r>
        <w:t xml:space="preserve"> as well. Based on these beta, one can </w:t>
      </w:r>
      <w:r>
        <w:rPr>
          <w:b/>
        </w:rPr>
        <w:t>specify the desired weights</w:t>
      </w:r>
      <w:r>
        <w:t xml:space="preserve"> of the selected hedges. We do not recommend any exact method for this, but it would theoretically be possible to create a near-beta-neutral portfolio. However, this would have been an overly over-fitted system. </w:t>
      </w:r>
      <w:r>
        <w:rPr>
          <w:b/>
        </w:rPr>
        <w:t>Our recommended weights</w:t>
      </w:r>
      <w:r>
        <w:t xml:space="preserve"> in the penultimate column are discretionary determined based on the previous columns. Finally, a </w:t>
      </w:r>
      <w:r>
        <w:rPr>
          <w:b/>
        </w:rPr>
        <w:t>portfolio value chart</w:t>
      </w:r>
      <w:r>
        <w:t xml:space="preserve"> (e.g. Chart 69) and a</w:t>
      </w:r>
      <w:r>
        <w:rPr>
          <w:b/>
        </w:rPr>
        <w:t xml:space="preserve"> performance indicator table</w:t>
      </w:r>
      <w:r>
        <w:t xml:space="preserve"> (Table 64) can be found which shows how the performance of the </w:t>
      </w:r>
      <w:r>
        <w:rPr>
          <w:b/>
        </w:rPr>
        <w:t>portfolio (SPY/QQQ) with and without hedges (double leverage in this case in this study because of the weights of the hedges)</w:t>
      </w:r>
      <w:r>
        <w:t xml:space="preserve"> would have progressed in the days when the level of </w:t>
      </w:r>
      <w:r>
        <w:rPr>
          <w:b/>
        </w:rPr>
        <w:t>EY-R10YEY</w:t>
      </w:r>
      <w:r>
        <w:t xml:space="preserve"> is between the above defined </w:t>
      </w:r>
      <w:r>
        <w:rPr>
          <w:b/>
        </w:rPr>
        <w:t>lower and upper bounds</w:t>
      </w:r>
      <w:r>
        <w:t>. It is worth noting that these results may suffer from look-ahead and data-mining biases.</w:t>
      </w:r>
    </w:p>
    <w:p w14:paraId="2290E4C0" w14:textId="77777777" w:rsidR="00D75F07" w:rsidRDefault="00D75F07">
      <w:pPr>
        <w:jc w:val="both"/>
      </w:pPr>
    </w:p>
    <w:p w14:paraId="2BA45B3D" w14:textId="77777777" w:rsidR="00D75F07" w:rsidRDefault="00404909">
      <w:pPr>
        <w:jc w:val="both"/>
      </w:pPr>
      <w:r>
        <w:br w:type="page"/>
      </w:r>
    </w:p>
    <w:p w14:paraId="5B4D038F" w14:textId="77777777" w:rsidR="00D75F07" w:rsidRDefault="00404909">
      <w:pPr>
        <w:jc w:val="both"/>
      </w:pPr>
      <w:r>
        <w:lastRenderedPageBreak/>
        <w:t>In this subsection, we will not explain each case in detail, as we could describe nearly identical things in each one. Our main findings and thoughts are:</w:t>
      </w:r>
    </w:p>
    <w:p w14:paraId="348E5AF8" w14:textId="77777777" w:rsidR="00D75F07" w:rsidRDefault="00404909">
      <w:pPr>
        <w:numPr>
          <w:ilvl w:val="0"/>
          <w:numId w:val="8"/>
        </w:numPr>
        <w:spacing w:before="60"/>
        <w:jc w:val="both"/>
        <w:rPr>
          <w:b/>
        </w:rPr>
      </w:pPr>
      <w:r>
        <w:rPr>
          <w:b/>
        </w:rPr>
        <w:t>As the SPY and the QQQ are highly correlated, the same hedges are appropriate for both in a given market environment.</w:t>
      </w:r>
    </w:p>
    <w:p w14:paraId="5444A3A6" w14:textId="77777777" w:rsidR="00D75F07" w:rsidRDefault="00404909">
      <w:pPr>
        <w:numPr>
          <w:ilvl w:val="0"/>
          <w:numId w:val="8"/>
        </w:numPr>
        <w:spacing w:before="60"/>
        <w:jc w:val="both"/>
        <w:rPr>
          <w:b/>
        </w:rPr>
      </w:pPr>
      <w:r>
        <w:rPr>
          <w:b/>
        </w:rPr>
        <w:t>TLT, IEF and SHY are good choices except when the real treasury yield is higher than the earnings yield.</w:t>
      </w:r>
    </w:p>
    <w:p w14:paraId="6847030D" w14:textId="77777777" w:rsidR="00D75F07" w:rsidRDefault="00404909">
      <w:pPr>
        <w:numPr>
          <w:ilvl w:val="0"/>
          <w:numId w:val="8"/>
        </w:numPr>
        <w:spacing w:before="60"/>
        <w:jc w:val="both"/>
        <w:rPr>
          <w:b/>
        </w:rPr>
      </w:pPr>
      <w:r>
        <w:rPr>
          <w:b/>
        </w:rPr>
        <w:t xml:space="preserve">Bonds, short gas (UNG), short oil (USO), short commodity (DBC) and maybe gold (GLD) are appropriate hedges during ‘normal times’, </w:t>
      </w:r>
      <w:proofErr w:type="spellStart"/>
      <w:r>
        <w:rPr>
          <w:b/>
        </w:rPr>
        <w:t>ie</w:t>
      </w:r>
      <w:proofErr w:type="spellEnd"/>
      <w:r>
        <w:rPr>
          <w:b/>
        </w:rPr>
        <w:t>. when the level of Excess Earnings Yield is around its median (~+3.8%). In these periods, the markets themselves are performing very well.</w:t>
      </w:r>
    </w:p>
    <w:p w14:paraId="074CEB35" w14:textId="77777777" w:rsidR="00D75F07" w:rsidRDefault="00404909">
      <w:pPr>
        <w:numPr>
          <w:ilvl w:val="0"/>
          <w:numId w:val="8"/>
        </w:numPr>
        <w:spacing w:before="60"/>
        <w:jc w:val="both"/>
        <w:rPr>
          <w:b/>
        </w:rPr>
      </w:pPr>
      <w:r>
        <w:rPr>
          <w:b/>
        </w:rPr>
        <w:t>Long VXX is never worth using as a hedge based on the level of EY-R10YEY.</w:t>
      </w:r>
    </w:p>
    <w:p w14:paraId="2CE80FCB" w14:textId="77777777" w:rsidR="00D75F07" w:rsidRDefault="00404909">
      <w:pPr>
        <w:numPr>
          <w:ilvl w:val="0"/>
          <w:numId w:val="8"/>
        </w:numPr>
        <w:spacing w:before="60"/>
        <w:jc w:val="both"/>
        <w:rPr>
          <w:b/>
        </w:rPr>
      </w:pPr>
      <w:r>
        <w:rPr>
          <w:b/>
        </w:rPr>
        <w:t>Only short gas (UNG) and maybe long gold (GLD) are appropriate hedges when the excess earnings yield is below 0. It is worth noting that both the markets (SPY and QQQ) and the selected ETFs but UNG, US bonds and VXX perform well in those periods. But correlations are mainly positive, thus these ETFs cannot work as a hedge.</w:t>
      </w:r>
    </w:p>
    <w:p w14:paraId="5DB2B9C8" w14:textId="77777777" w:rsidR="00D75F07" w:rsidRDefault="00404909">
      <w:pPr>
        <w:numPr>
          <w:ilvl w:val="0"/>
          <w:numId w:val="8"/>
        </w:numPr>
        <w:spacing w:before="60"/>
        <w:jc w:val="both"/>
        <w:rPr>
          <w:b/>
        </w:rPr>
      </w:pPr>
      <w:r>
        <w:rPr>
          <w:b/>
        </w:rPr>
        <w:t xml:space="preserve">When the earnings yield significantly exceeds the real treasury yield, long bonds, UUP and ‘short everything’ is the best hedge tactic. In those times, all the money flows into the market (SPY and QQQ) which may cause the underperformance of safe havens, gas, oil, commodities and emerging markets as well, </w:t>
      </w:r>
    </w:p>
    <w:p w14:paraId="2C8E2219" w14:textId="77777777" w:rsidR="00D75F07" w:rsidRDefault="00404909">
      <w:pPr>
        <w:numPr>
          <w:ilvl w:val="0"/>
          <w:numId w:val="8"/>
        </w:numPr>
        <w:spacing w:before="60"/>
        <w:jc w:val="both"/>
        <w:rPr>
          <w:b/>
        </w:rPr>
      </w:pPr>
      <w:r>
        <w:rPr>
          <w:b/>
        </w:rPr>
        <w:t>The beta of SHY is too low to be worth dealing with this ETF.</w:t>
      </w:r>
    </w:p>
    <w:p w14:paraId="63BED6E5" w14:textId="77777777" w:rsidR="00D75F07" w:rsidRDefault="00404909">
      <w:pPr>
        <w:numPr>
          <w:ilvl w:val="0"/>
          <w:numId w:val="8"/>
        </w:numPr>
        <w:spacing w:before="60"/>
        <w:jc w:val="both"/>
        <w:rPr>
          <w:b/>
        </w:rPr>
      </w:pPr>
      <w:r>
        <w:rPr>
          <w:b/>
        </w:rPr>
        <w:t>In all the nine cases, using hedge can improve both the Sharpe and the MAR ratios (it does not depend on the leverage!).</w:t>
      </w:r>
    </w:p>
    <w:p w14:paraId="2B4709C7" w14:textId="77777777" w:rsidR="00D75F07" w:rsidRDefault="00D75F07">
      <w:pPr>
        <w:jc w:val="both"/>
      </w:pPr>
    </w:p>
    <w:p w14:paraId="5F4ED110" w14:textId="77777777" w:rsidR="00D75F07" w:rsidRDefault="00D75F07">
      <w:pPr>
        <w:jc w:val="both"/>
      </w:pPr>
    </w:p>
    <w:p w14:paraId="6DB72E5F" w14:textId="77777777" w:rsidR="00D75F07" w:rsidRDefault="00404909">
      <w:pPr>
        <w:jc w:val="both"/>
      </w:pPr>
      <w:r>
        <w:t xml:space="preserve">An </w:t>
      </w:r>
      <w:r>
        <w:rPr>
          <w:b/>
        </w:rPr>
        <w:t xml:space="preserve">online </w:t>
      </w:r>
      <w:proofErr w:type="spellStart"/>
      <w:r>
        <w:rPr>
          <w:b/>
        </w:rPr>
        <w:t>GoogleSheet</w:t>
      </w:r>
      <w:proofErr w:type="spellEnd"/>
      <w:r>
        <w:rPr>
          <w:b/>
        </w:rPr>
        <w:t xml:space="preserve"> version for this EY-R10YEY - </w:t>
      </w:r>
      <w:proofErr w:type="spellStart"/>
      <w:r>
        <w:rPr>
          <w:b/>
        </w:rPr>
        <w:t>SnifferQuant</w:t>
      </w:r>
      <w:proofErr w:type="spellEnd"/>
      <w:r>
        <w:rPr>
          <w:b/>
        </w:rPr>
        <w:t xml:space="preserve"> Hedge-Selection Method</w:t>
      </w:r>
      <w:r>
        <w:t xml:space="preserve"> can be found </w:t>
      </w:r>
      <w:hyperlink r:id="rId9">
        <w:r>
          <w:rPr>
            <w:b/>
            <w:color w:val="1155CC"/>
            <w:u w:val="single"/>
          </w:rPr>
          <w:t>here</w:t>
        </w:r>
      </w:hyperlink>
      <w:r>
        <w:t xml:space="preserve">, where the </w:t>
      </w:r>
      <w:r>
        <w:rPr>
          <w:b/>
        </w:rPr>
        <w:t>EY-R10YEY level</w:t>
      </w:r>
      <w:r>
        <w:t xml:space="preserve"> (cell ‘B1’), the</w:t>
      </w:r>
      <w:r>
        <w:rPr>
          <w:b/>
        </w:rPr>
        <w:t xml:space="preserve"> look-ahead period </w:t>
      </w:r>
      <w:r>
        <w:t xml:space="preserve">(cell ‘E1’) and the </w:t>
      </w:r>
      <w:r>
        <w:rPr>
          <w:b/>
        </w:rPr>
        <w:t>discretionary hedge weights</w:t>
      </w:r>
      <w:r>
        <w:t xml:space="preserve"> (cells ‘G24:G39’) should be changed.</w:t>
      </w:r>
    </w:p>
    <w:p w14:paraId="277AF15E" w14:textId="77777777" w:rsidR="00D75F07" w:rsidRDefault="00D75F07">
      <w:pPr>
        <w:jc w:val="both"/>
      </w:pPr>
    </w:p>
    <w:p w14:paraId="328A6A8E" w14:textId="77777777" w:rsidR="00D75F07" w:rsidRDefault="00404909">
      <w:pPr>
        <w:jc w:val="both"/>
        <w:rPr>
          <w:b/>
        </w:rPr>
      </w:pPr>
      <w:r>
        <w:rPr>
          <w:b/>
        </w:rPr>
        <w:t xml:space="preserve">In summary, we strongly believe that this EY-R10YEY - </w:t>
      </w:r>
      <w:proofErr w:type="spellStart"/>
      <w:r>
        <w:rPr>
          <w:b/>
        </w:rPr>
        <w:t>SnifferQuant</w:t>
      </w:r>
      <w:proofErr w:type="spellEnd"/>
      <w:r>
        <w:rPr>
          <w:b/>
        </w:rPr>
        <w:t xml:space="preserve"> Hedge-Selection Method can be a useful tool in all market situations. It helps us to select the expectedly most effective hedges which can even generate extra profit as well (in addition to risk reduction).</w:t>
      </w:r>
    </w:p>
    <w:p w14:paraId="0326A766" w14:textId="77777777" w:rsidR="00D75F07" w:rsidRDefault="00404909">
      <w:pPr>
        <w:jc w:val="center"/>
        <w:rPr>
          <w:sz w:val="18"/>
          <w:szCs w:val="18"/>
        </w:rPr>
      </w:pPr>
      <w:r>
        <w:br w:type="page"/>
      </w:r>
    </w:p>
    <w:p w14:paraId="7CF0B769" w14:textId="77777777" w:rsidR="00D75F07" w:rsidRDefault="00404909">
      <w:pPr>
        <w:jc w:val="both"/>
        <w:rPr>
          <w:b/>
          <w:color w:val="38761D"/>
          <w:sz w:val="20"/>
          <w:szCs w:val="20"/>
        </w:rPr>
      </w:pPr>
      <w:r>
        <w:rPr>
          <w:b/>
          <w:color w:val="38761D"/>
          <w:sz w:val="24"/>
          <w:szCs w:val="24"/>
        </w:rPr>
        <w:lastRenderedPageBreak/>
        <w:t>EY-R10YTY: -0.5%, 5-day look-ahead period</w:t>
      </w:r>
    </w:p>
    <w:p w14:paraId="39B942AA" w14:textId="77777777" w:rsidR="00D75F07" w:rsidRDefault="00D75F07">
      <w:pPr>
        <w:jc w:val="center"/>
        <w:rPr>
          <w:sz w:val="18"/>
          <w:szCs w:val="18"/>
        </w:rPr>
      </w:pPr>
    </w:p>
    <w:p w14:paraId="133F468E" w14:textId="77777777" w:rsidR="00D75F07" w:rsidRDefault="00404909">
      <w:pPr>
        <w:jc w:val="center"/>
        <w:rPr>
          <w:sz w:val="18"/>
          <w:szCs w:val="18"/>
        </w:rPr>
      </w:pPr>
      <w:r>
        <w:rPr>
          <w:sz w:val="18"/>
          <w:szCs w:val="18"/>
        </w:rPr>
        <w:t>Chart 68a: Correlation vs. Sharpe ratio EY-R10YTY: -0.5%, using SPY - 5-day look-ahead period</w:t>
      </w:r>
    </w:p>
    <w:p w14:paraId="7D828468" w14:textId="77777777" w:rsidR="00D75F07" w:rsidRDefault="00404909">
      <w:pPr>
        <w:jc w:val="center"/>
        <w:rPr>
          <w:sz w:val="18"/>
          <w:szCs w:val="18"/>
        </w:rPr>
      </w:pPr>
      <w:r>
        <w:rPr>
          <w:noProof/>
          <w:sz w:val="18"/>
          <w:szCs w:val="18"/>
        </w:rPr>
        <w:drawing>
          <wp:inline distT="114300" distB="114300" distL="114300" distR="114300" wp14:anchorId="40A56906" wp14:editId="24BAE28C">
            <wp:extent cx="7052400" cy="4203700"/>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7052400" cy="4203700"/>
                    </a:xfrm>
                    <a:prstGeom prst="rect">
                      <a:avLst/>
                    </a:prstGeom>
                    <a:ln/>
                  </pic:spPr>
                </pic:pic>
              </a:graphicData>
            </a:graphic>
          </wp:inline>
        </w:drawing>
      </w:r>
    </w:p>
    <w:p w14:paraId="131E8D49" w14:textId="77777777" w:rsidR="00D75F07" w:rsidRDefault="00404909">
      <w:pPr>
        <w:jc w:val="center"/>
        <w:rPr>
          <w:sz w:val="18"/>
          <w:szCs w:val="18"/>
        </w:rPr>
      </w:pPr>
      <w:r>
        <w:rPr>
          <w:sz w:val="18"/>
          <w:szCs w:val="18"/>
        </w:rPr>
        <w:t>Chart 68b: Correlation vs. Sharpe ratio EY-R10YTY: -0.5%, using QQQ - 5-day look-ahead period</w:t>
      </w:r>
    </w:p>
    <w:p w14:paraId="161ED49B" w14:textId="77777777" w:rsidR="00D75F07" w:rsidRDefault="00404909">
      <w:pPr>
        <w:jc w:val="center"/>
        <w:rPr>
          <w:sz w:val="18"/>
          <w:szCs w:val="18"/>
        </w:rPr>
      </w:pPr>
      <w:r>
        <w:rPr>
          <w:noProof/>
          <w:sz w:val="18"/>
          <w:szCs w:val="18"/>
        </w:rPr>
        <w:lastRenderedPageBreak/>
        <w:drawing>
          <wp:inline distT="114300" distB="114300" distL="114300" distR="114300" wp14:anchorId="3091E6C2" wp14:editId="684E6868">
            <wp:extent cx="7052400" cy="4203700"/>
            <wp:effectExtent l="0" t="0" r="0" b="0"/>
            <wp:docPr id="14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1"/>
                    <a:srcRect/>
                    <a:stretch>
                      <a:fillRect/>
                    </a:stretch>
                  </pic:blipFill>
                  <pic:spPr>
                    <a:xfrm>
                      <a:off x="0" y="0"/>
                      <a:ext cx="7052400" cy="4203700"/>
                    </a:xfrm>
                    <a:prstGeom prst="rect">
                      <a:avLst/>
                    </a:prstGeom>
                    <a:ln/>
                  </pic:spPr>
                </pic:pic>
              </a:graphicData>
            </a:graphic>
          </wp:inline>
        </w:drawing>
      </w:r>
    </w:p>
    <w:p w14:paraId="37CF02CB" w14:textId="77777777" w:rsidR="00D75F07" w:rsidRDefault="00404909">
      <w:pPr>
        <w:jc w:val="center"/>
        <w:rPr>
          <w:sz w:val="18"/>
          <w:szCs w:val="18"/>
        </w:rPr>
      </w:pPr>
      <w:r>
        <w:rPr>
          <w:sz w:val="18"/>
          <w:szCs w:val="18"/>
        </w:rPr>
        <w:t>Table 63: Correlation, beta, Sharpe ratio and recommended weights of hedges - EY-R10YTY: -0.5% - 5-day look-ahead period</w:t>
      </w:r>
    </w:p>
    <w:p w14:paraId="1BAB0056" w14:textId="77777777" w:rsidR="00D75F07" w:rsidRDefault="00404909">
      <w:pPr>
        <w:jc w:val="center"/>
        <w:rPr>
          <w:sz w:val="18"/>
          <w:szCs w:val="18"/>
        </w:rPr>
      </w:pPr>
      <w:r>
        <w:rPr>
          <w:noProof/>
          <w:sz w:val="18"/>
          <w:szCs w:val="18"/>
        </w:rPr>
        <w:drawing>
          <wp:inline distT="114300" distB="114300" distL="114300" distR="114300" wp14:anchorId="23084602" wp14:editId="0F72879B">
            <wp:extent cx="7052400" cy="3619500"/>
            <wp:effectExtent l="0" t="0" r="0" b="0"/>
            <wp:docPr id="12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2"/>
                    <a:srcRect/>
                    <a:stretch>
                      <a:fillRect/>
                    </a:stretch>
                  </pic:blipFill>
                  <pic:spPr>
                    <a:xfrm>
                      <a:off x="0" y="0"/>
                      <a:ext cx="7052400" cy="3619500"/>
                    </a:xfrm>
                    <a:prstGeom prst="rect">
                      <a:avLst/>
                    </a:prstGeom>
                    <a:ln/>
                  </pic:spPr>
                </pic:pic>
              </a:graphicData>
            </a:graphic>
          </wp:inline>
        </w:drawing>
      </w:r>
    </w:p>
    <w:p w14:paraId="0A38ADE0" w14:textId="77777777" w:rsidR="00D75F07" w:rsidRDefault="00D75F07">
      <w:pPr>
        <w:jc w:val="center"/>
        <w:rPr>
          <w:sz w:val="18"/>
          <w:szCs w:val="18"/>
        </w:rPr>
      </w:pPr>
    </w:p>
    <w:p w14:paraId="3B731A8E" w14:textId="77777777" w:rsidR="00D75F07" w:rsidRDefault="00404909">
      <w:pPr>
        <w:jc w:val="center"/>
        <w:rPr>
          <w:sz w:val="18"/>
          <w:szCs w:val="18"/>
        </w:rPr>
      </w:pPr>
      <w:r>
        <w:rPr>
          <w:sz w:val="18"/>
          <w:szCs w:val="18"/>
        </w:rPr>
        <w:t>Chart 69: PV - EY-R10YTY: -0.5% - 5-day look-ahead period</w:t>
      </w:r>
    </w:p>
    <w:p w14:paraId="49CE8B8F" w14:textId="77777777" w:rsidR="00D75F07" w:rsidRDefault="00404909">
      <w:pPr>
        <w:jc w:val="center"/>
        <w:rPr>
          <w:sz w:val="18"/>
          <w:szCs w:val="18"/>
        </w:rPr>
      </w:pPr>
      <w:r>
        <w:rPr>
          <w:noProof/>
          <w:sz w:val="18"/>
          <w:szCs w:val="18"/>
        </w:rPr>
        <w:lastRenderedPageBreak/>
        <w:drawing>
          <wp:inline distT="114300" distB="114300" distL="114300" distR="114300" wp14:anchorId="37C906B9" wp14:editId="3613B0A3">
            <wp:extent cx="7052400" cy="4216400"/>
            <wp:effectExtent l="0" t="0" r="0" b="0"/>
            <wp:docPr id="12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3"/>
                    <a:srcRect/>
                    <a:stretch>
                      <a:fillRect/>
                    </a:stretch>
                  </pic:blipFill>
                  <pic:spPr>
                    <a:xfrm>
                      <a:off x="0" y="0"/>
                      <a:ext cx="7052400" cy="4216400"/>
                    </a:xfrm>
                    <a:prstGeom prst="rect">
                      <a:avLst/>
                    </a:prstGeom>
                    <a:ln/>
                  </pic:spPr>
                </pic:pic>
              </a:graphicData>
            </a:graphic>
          </wp:inline>
        </w:drawing>
      </w:r>
    </w:p>
    <w:p w14:paraId="13CCBBDA" w14:textId="77777777" w:rsidR="00D75F07" w:rsidRDefault="00D75F07">
      <w:pPr>
        <w:jc w:val="center"/>
        <w:rPr>
          <w:sz w:val="18"/>
          <w:szCs w:val="18"/>
        </w:rPr>
      </w:pPr>
    </w:p>
    <w:p w14:paraId="304F57F0" w14:textId="77777777" w:rsidR="00D75F07" w:rsidRDefault="00404909">
      <w:pPr>
        <w:jc w:val="center"/>
        <w:rPr>
          <w:sz w:val="18"/>
          <w:szCs w:val="18"/>
        </w:rPr>
      </w:pPr>
      <w:r>
        <w:br w:type="page"/>
      </w:r>
    </w:p>
    <w:p w14:paraId="6EED5F70" w14:textId="77777777" w:rsidR="00D75F07" w:rsidRDefault="00404909">
      <w:pPr>
        <w:jc w:val="center"/>
        <w:rPr>
          <w:sz w:val="18"/>
          <w:szCs w:val="18"/>
        </w:rPr>
      </w:pPr>
      <w:r>
        <w:rPr>
          <w:sz w:val="18"/>
          <w:szCs w:val="18"/>
        </w:rPr>
        <w:lastRenderedPageBreak/>
        <w:t>Table 64: Performance indicators with and without hedges - EY-R10YTY: -0.5% - 5-day look-ahead period</w:t>
      </w:r>
    </w:p>
    <w:p w14:paraId="23732FF2" w14:textId="77777777" w:rsidR="00D75F07" w:rsidRDefault="00404909">
      <w:pPr>
        <w:jc w:val="center"/>
        <w:rPr>
          <w:sz w:val="18"/>
          <w:szCs w:val="18"/>
        </w:rPr>
      </w:pPr>
      <w:r>
        <w:rPr>
          <w:noProof/>
          <w:sz w:val="18"/>
          <w:szCs w:val="18"/>
        </w:rPr>
        <w:drawing>
          <wp:inline distT="114300" distB="114300" distL="114300" distR="114300" wp14:anchorId="2C6C375B" wp14:editId="4E94653D">
            <wp:extent cx="5581650" cy="1485900"/>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a:stretch>
                      <a:fillRect/>
                    </a:stretch>
                  </pic:blipFill>
                  <pic:spPr>
                    <a:xfrm>
                      <a:off x="0" y="0"/>
                      <a:ext cx="5581650" cy="1485900"/>
                    </a:xfrm>
                    <a:prstGeom prst="rect">
                      <a:avLst/>
                    </a:prstGeom>
                    <a:ln/>
                  </pic:spPr>
                </pic:pic>
              </a:graphicData>
            </a:graphic>
          </wp:inline>
        </w:drawing>
      </w:r>
    </w:p>
    <w:p w14:paraId="15030BE4" w14:textId="77777777" w:rsidR="00D75F07" w:rsidRDefault="00D75F07">
      <w:pPr>
        <w:jc w:val="center"/>
        <w:rPr>
          <w:sz w:val="18"/>
          <w:szCs w:val="18"/>
        </w:rPr>
      </w:pPr>
    </w:p>
    <w:p w14:paraId="30EBED6A" w14:textId="77777777" w:rsidR="00D75F07" w:rsidRDefault="00D75F07">
      <w:pPr>
        <w:jc w:val="both"/>
        <w:rPr>
          <w:b/>
          <w:color w:val="38761D"/>
          <w:sz w:val="24"/>
          <w:szCs w:val="24"/>
        </w:rPr>
      </w:pPr>
    </w:p>
    <w:p w14:paraId="65FFCF33" w14:textId="77777777" w:rsidR="00D75F07" w:rsidRDefault="00D75F07">
      <w:pPr>
        <w:jc w:val="both"/>
        <w:rPr>
          <w:b/>
          <w:color w:val="38761D"/>
          <w:sz w:val="24"/>
          <w:szCs w:val="24"/>
        </w:rPr>
      </w:pPr>
    </w:p>
    <w:p w14:paraId="21BCD39C" w14:textId="77777777" w:rsidR="00D75F07" w:rsidRDefault="00404909">
      <w:pPr>
        <w:jc w:val="both"/>
        <w:rPr>
          <w:sz w:val="18"/>
          <w:szCs w:val="18"/>
        </w:rPr>
      </w:pPr>
      <w:r>
        <w:rPr>
          <w:b/>
          <w:color w:val="38761D"/>
          <w:sz w:val="24"/>
          <w:szCs w:val="24"/>
        </w:rPr>
        <w:t>EY-R10YTY: +3.8%, 5-day look-ahead period</w:t>
      </w:r>
    </w:p>
    <w:p w14:paraId="640ED9B7" w14:textId="77777777" w:rsidR="00D75F07" w:rsidRDefault="00D75F07">
      <w:pPr>
        <w:jc w:val="center"/>
        <w:rPr>
          <w:sz w:val="18"/>
          <w:szCs w:val="18"/>
        </w:rPr>
      </w:pPr>
    </w:p>
    <w:p w14:paraId="28C33DB7" w14:textId="77777777" w:rsidR="00D75F07" w:rsidRDefault="00404909">
      <w:pPr>
        <w:jc w:val="center"/>
        <w:rPr>
          <w:sz w:val="18"/>
          <w:szCs w:val="18"/>
        </w:rPr>
      </w:pPr>
      <w:r>
        <w:rPr>
          <w:sz w:val="18"/>
          <w:szCs w:val="18"/>
        </w:rPr>
        <w:t>Chart 70a: Correlation vs. Sharpe ratio EY-R10YTY: +3.8%, using SPY - 5-day look-ahead period</w:t>
      </w:r>
    </w:p>
    <w:p w14:paraId="65234F19" w14:textId="77777777" w:rsidR="00D75F07" w:rsidRDefault="00404909">
      <w:pPr>
        <w:jc w:val="center"/>
        <w:rPr>
          <w:sz w:val="18"/>
          <w:szCs w:val="18"/>
        </w:rPr>
      </w:pPr>
      <w:r>
        <w:rPr>
          <w:noProof/>
          <w:sz w:val="18"/>
          <w:szCs w:val="18"/>
        </w:rPr>
        <w:drawing>
          <wp:inline distT="114300" distB="114300" distL="114300" distR="114300" wp14:anchorId="2DFCC46E" wp14:editId="55087FAF">
            <wp:extent cx="7052400" cy="42037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7052400" cy="4203700"/>
                    </a:xfrm>
                    <a:prstGeom prst="rect">
                      <a:avLst/>
                    </a:prstGeom>
                    <a:ln/>
                  </pic:spPr>
                </pic:pic>
              </a:graphicData>
            </a:graphic>
          </wp:inline>
        </w:drawing>
      </w:r>
    </w:p>
    <w:p w14:paraId="169E6613" w14:textId="77777777" w:rsidR="00D75F07" w:rsidRDefault="00404909">
      <w:pPr>
        <w:jc w:val="center"/>
        <w:rPr>
          <w:sz w:val="18"/>
          <w:szCs w:val="18"/>
        </w:rPr>
      </w:pPr>
      <w:r>
        <w:br w:type="page"/>
      </w:r>
    </w:p>
    <w:p w14:paraId="55BEA145" w14:textId="77777777" w:rsidR="00D75F07" w:rsidRDefault="00404909">
      <w:pPr>
        <w:jc w:val="center"/>
        <w:rPr>
          <w:sz w:val="18"/>
          <w:szCs w:val="18"/>
        </w:rPr>
      </w:pPr>
      <w:r>
        <w:rPr>
          <w:sz w:val="18"/>
          <w:szCs w:val="18"/>
        </w:rPr>
        <w:lastRenderedPageBreak/>
        <w:t>Chart 70b: Correlation vs. Sharpe ratio EY-R10YTY: +3.8%, using QQQ - 5-day look-ahead period</w:t>
      </w:r>
    </w:p>
    <w:p w14:paraId="0D3DC104" w14:textId="77777777" w:rsidR="00D75F07" w:rsidRDefault="00404909">
      <w:pPr>
        <w:jc w:val="center"/>
        <w:rPr>
          <w:sz w:val="18"/>
          <w:szCs w:val="18"/>
        </w:rPr>
      </w:pPr>
      <w:r>
        <w:rPr>
          <w:noProof/>
          <w:sz w:val="18"/>
          <w:szCs w:val="18"/>
        </w:rPr>
        <w:drawing>
          <wp:inline distT="114300" distB="114300" distL="114300" distR="114300" wp14:anchorId="4217409B" wp14:editId="11164098">
            <wp:extent cx="7052400" cy="4203700"/>
            <wp:effectExtent l="0" t="0" r="0" b="0"/>
            <wp:docPr id="180"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6"/>
                    <a:srcRect/>
                    <a:stretch>
                      <a:fillRect/>
                    </a:stretch>
                  </pic:blipFill>
                  <pic:spPr>
                    <a:xfrm>
                      <a:off x="0" y="0"/>
                      <a:ext cx="7052400" cy="4203700"/>
                    </a:xfrm>
                    <a:prstGeom prst="rect">
                      <a:avLst/>
                    </a:prstGeom>
                    <a:ln/>
                  </pic:spPr>
                </pic:pic>
              </a:graphicData>
            </a:graphic>
          </wp:inline>
        </w:drawing>
      </w:r>
    </w:p>
    <w:p w14:paraId="15226DFA" w14:textId="77777777" w:rsidR="00D75F07" w:rsidRDefault="00D75F07">
      <w:pPr>
        <w:jc w:val="center"/>
        <w:rPr>
          <w:sz w:val="18"/>
          <w:szCs w:val="18"/>
        </w:rPr>
      </w:pPr>
    </w:p>
    <w:p w14:paraId="64E1DA26" w14:textId="77777777" w:rsidR="00D75F07" w:rsidRDefault="00404909">
      <w:pPr>
        <w:jc w:val="center"/>
        <w:rPr>
          <w:sz w:val="18"/>
          <w:szCs w:val="18"/>
        </w:rPr>
      </w:pPr>
      <w:r>
        <w:rPr>
          <w:sz w:val="18"/>
          <w:szCs w:val="18"/>
        </w:rPr>
        <w:t>Table 65: Correlation, beta, Sharpe ratio and recommended weights of hedges - EY-R10YTY: +3.8% - 5-day look-ahead period</w:t>
      </w:r>
    </w:p>
    <w:p w14:paraId="477AC4D6" w14:textId="77777777" w:rsidR="00D75F07" w:rsidRDefault="00404909">
      <w:pPr>
        <w:jc w:val="center"/>
        <w:rPr>
          <w:sz w:val="18"/>
          <w:szCs w:val="18"/>
        </w:rPr>
      </w:pPr>
      <w:r>
        <w:rPr>
          <w:noProof/>
          <w:sz w:val="18"/>
          <w:szCs w:val="18"/>
        </w:rPr>
        <w:drawing>
          <wp:inline distT="114300" distB="114300" distL="114300" distR="114300" wp14:anchorId="1DB8C93C" wp14:editId="550CB73F">
            <wp:extent cx="7052400" cy="3606800"/>
            <wp:effectExtent l="0" t="0" r="0" b="0"/>
            <wp:docPr id="182"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
                    <a:srcRect/>
                    <a:stretch>
                      <a:fillRect/>
                    </a:stretch>
                  </pic:blipFill>
                  <pic:spPr>
                    <a:xfrm>
                      <a:off x="0" y="0"/>
                      <a:ext cx="7052400" cy="3606800"/>
                    </a:xfrm>
                    <a:prstGeom prst="rect">
                      <a:avLst/>
                    </a:prstGeom>
                    <a:ln/>
                  </pic:spPr>
                </pic:pic>
              </a:graphicData>
            </a:graphic>
          </wp:inline>
        </w:drawing>
      </w:r>
    </w:p>
    <w:p w14:paraId="4BDE2833" w14:textId="77777777" w:rsidR="00D75F07" w:rsidRDefault="00404909">
      <w:pPr>
        <w:jc w:val="center"/>
        <w:rPr>
          <w:sz w:val="18"/>
          <w:szCs w:val="18"/>
        </w:rPr>
      </w:pPr>
      <w:r>
        <w:br w:type="page"/>
      </w:r>
    </w:p>
    <w:p w14:paraId="24B8F9EE" w14:textId="77777777" w:rsidR="00D75F07" w:rsidRDefault="00404909">
      <w:pPr>
        <w:jc w:val="center"/>
        <w:rPr>
          <w:sz w:val="18"/>
          <w:szCs w:val="18"/>
        </w:rPr>
      </w:pPr>
      <w:r>
        <w:rPr>
          <w:sz w:val="18"/>
          <w:szCs w:val="18"/>
        </w:rPr>
        <w:lastRenderedPageBreak/>
        <w:t>Chart 71: PV - EY-R10YTY: +3.8% - 5-day look-ahead period</w:t>
      </w:r>
    </w:p>
    <w:p w14:paraId="6758EB49" w14:textId="77777777" w:rsidR="00D75F07" w:rsidRDefault="00404909">
      <w:pPr>
        <w:jc w:val="center"/>
        <w:rPr>
          <w:sz w:val="18"/>
          <w:szCs w:val="18"/>
        </w:rPr>
      </w:pPr>
      <w:r>
        <w:rPr>
          <w:noProof/>
          <w:sz w:val="18"/>
          <w:szCs w:val="18"/>
        </w:rPr>
        <w:drawing>
          <wp:inline distT="114300" distB="114300" distL="114300" distR="114300" wp14:anchorId="63DECB6B" wp14:editId="752EB869">
            <wp:extent cx="7052400" cy="4216400"/>
            <wp:effectExtent l="0" t="0" r="0" b="0"/>
            <wp:docPr id="232"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18"/>
                    <a:srcRect/>
                    <a:stretch>
                      <a:fillRect/>
                    </a:stretch>
                  </pic:blipFill>
                  <pic:spPr>
                    <a:xfrm>
                      <a:off x="0" y="0"/>
                      <a:ext cx="7052400" cy="4216400"/>
                    </a:xfrm>
                    <a:prstGeom prst="rect">
                      <a:avLst/>
                    </a:prstGeom>
                    <a:ln/>
                  </pic:spPr>
                </pic:pic>
              </a:graphicData>
            </a:graphic>
          </wp:inline>
        </w:drawing>
      </w:r>
    </w:p>
    <w:p w14:paraId="594748D4" w14:textId="77777777" w:rsidR="00D75F07" w:rsidRDefault="00D75F07">
      <w:pPr>
        <w:jc w:val="center"/>
        <w:rPr>
          <w:sz w:val="18"/>
          <w:szCs w:val="18"/>
        </w:rPr>
      </w:pPr>
    </w:p>
    <w:p w14:paraId="1EC1C9C7" w14:textId="77777777" w:rsidR="00D75F07" w:rsidRDefault="00404909">
      <w:pPr>
        <w:jc w:val="center"/>
        <w:rPr>
          <w:sz w:val="18"/>
          <w:szCs w:val="18"/>
        </w:rPr>
      </w:pPr>
      <w:r>
        <w:rPr>
          <w:sz w:val="18"/>
          <w:szCs w:val="18"/>
        </w:rPr>
        <w:t>Table 66: Performance indicators with and without hedges - EY-R10YTY: +3.8% - 5-day look-ahead period</w:t>
      </w:r>
    </w:p>
    <w:p w14:paraId="0B66AC31" w14:textId="77777777" w:rsidR="00D75F07" w:rsidRDefault="00404909">
      <w:pPr>
        <w:jc w:val="center"/>
        <w:rPr>
          <w:sz w:val="18"/>
          <w:szCs w:val="18"/>
        </w:rPr>
      </w:pPr>
      <w:r>
        <w:rPr>
          <w:noProof/>
          <w:sz w:val="18"/>
          <w:szCs w:val="18"/>
        </w:rPr>
        <w:drawing>
          <wp:inline distT="114300" distB="114300" distL="114300" distR="114300" wp14:anchorId="1C658D9B" wp14:editId="7EF637B7">
            <wp:extent cx="5581650" cy="1495425"/>
            <wp:effectExtent l="0" t="0" r="0" b="0"/>
            <wp:docPr id="155"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9"/>
                    <a:srcRect/>
                    <a:stretch>
                      <a:fillRect/>
                    </a:stretch>
                  </pic:blipFill>
                  <pic:spPr>
                    <a:xfrm>
                      <a:off x="0" y="0"/>
                      <a:ext cx="5581650" cy="1495425"/>
                    </a:xfrm>
                    <a:prstGeom prst="rect">
                      <a:avLst/>
                    </a:prstGeom>
                    <a:ln/>
                  </pic:spPr>
                </pic:pic>
              </a:graphicData>
            </a:graphic>
          </wp:inline>
        </w:drawing>
      </w:r>
    </w:p>
    <w:p w14:paraId="7CE87F8E" w14:textId="77777777" w:rsidR="00D75F07" w:rsidRDefault="00404909">
      <w:pPr>
        <w:jc w:val="center"/>
        <w:rPr>
          <w:sz w:val="18"/>
          <w:szCs w:val="18"/>
        </w:rPr>
      </w:pPr>
      <w:r>
        <w:br w:type="page"/>
      </w:r>
    </w:p>
    <w:p w14:paraId="7E726DC8" w14:textId="77777777" w:rsidR="00D75F07" w:rsidRDefault="00404909">
      <w:pPr>
        <w:jc w:val="both"/>
        <w:rPr>
          <w:b/>
          <w:color w:val="38761D"/>
          <w:sz w:val="24"/>
          <w:szCs w:val="24"/>
        </w:rPr>
      </w:pPr>
      <w:r>
        <w:rPr>
          <w:b/>
          <w:color w:val="38761D"/>
          <w:sz w:val="24"/>
          <w:szCs w:val="24"/>
        </w:rPr>
        <w:lastRenderedPageBreak/>
        <w:t>EY-R10YTY: +6.5%, 5-day look-ahead period</w:t>
      </w:r>
    </w:p>
    <w:p w14:paraId="06EA93F6" w14:textId="77777777" w:rsidR="00D75F07" w:rsidRDefault="00D75F07">
      <w:pPr>
        <w:jc w:val="both"/>
        <w:rPr>
          <w:b/>
          <w:color w:val="38761D"/>
          <w:sz w:val="24"/>
          <w:szCs w:val="24"/>
        </w:rPr>
      </w:pPr>
    </w:p>
    <w:p w14:paraId="703AF30B" w14:textId="77777777" w:rsidR="00D75F07" w:rsidRDefault="00404909">
      <w:pPr>
        <w:jc w:val="center"/>
        <w:rPr>
          <w:sz w:val="18"/>
          <w:szCs w:val="18"/>
        </w:rPr>
      </w:pPr>
      <w:r>
        <w:rPr>
          <w:sz w:val="18"/>
          <w:szCs w:val="18"/>
        </w:rPr>
        <w:t>Chart 72a: Correlation vs. Sharpe ratio EY-R10YTY: +6.5%, using SPY - 5-day look-ahead period</w:t>
      </w:r>
    </w:p>
    <w:p w14:paraId="208AF36B" w14:textId="77777777" w:rsidR="00D75F07" w:rsidRDefault="00404909">
      <w:pPr>
        <w:jc w:val="center"/>
        <w:rPr>
          <w:sz w:val="18"/>
          <w:szCs w:val="18"/>
        </w:rPr>
      </w:pPr>
      <w:r>
        <w:rPr>
          <w:noProof/>
          <w:sz w:val="18"/>
          <w:szCs w:val="18"/>
        </w:rPr>
        <w:drawing>
          <wp:inline distT="114300" distB="114300" distL="114300" distR="114300" wp14:anchorId="46C46177" wp14:editId="76DBE0FA">
            <wp:extent cx="7052400" cy="4203700"/>
            <wp:effectExtent l="0" t="0" r="0" b="0"/>
            <wp:docPr id="137"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srcRect/>
                    <a:stretch>
                      <a:fillRect/>
                    </a:stretch>
                  </pic:blipFill>
                  <pic:spPr>
                    <a:xfrm>
                      <a:off x="0" y="0"/>
                      <a:ext cx="7052400" cy="4203700"/>
                    </a:xfrm>
                    <a:prstGeom prst="rect">
                      <a:avLst/>
                    </a:prstGeom>
                    <a:ln/>
                  </pic:spPr>
                </pic:pic>
              </a:graphicData>
            </a:graphic>
          </wp:inline>
        </w:drawing>
      </w:r>
    </w:p>
    <w:p w14:paraId="0DA9249E" w14:textId="77777777" w:rsidR="00D75F07" w:rsidRDefault="00404909">
      <w:pPr>
        <w:jc w:val="center"/>
        <w:rPr>
          <w:sz w:val="18"/>
          <w:szCs w:val="18"/>
        </w:rPr>
      </w:pPr>
      <w:r>
        <w:rPr>
          <w:sz w:val="18"/>
          <w:szCs w:val="18"/>
        </w:rPr>
        <w:t>Chart 72b: Correlation vs. Sharpe ratio EY-R10YTY: +6.5%, using QQQ - 5-day look-ahead period</w:t>
      </w:r>
    </w:p>
    <w:p w14:paraId="2CEE8596" w14:textId="77777777" w:rsidR="00D75F07" w:rsidRDefault="00404909">
      <w:pPr>
        <w:jc w:val="center"/>
        <w:rPr>
          <w:sz w:val="18"/>
          <w:szCs w:val="18"/>
        </w:rPr>
      </w:pPr>
      <w:r>
        <w:rPr>
          <w:noProof/>
          <w:sz w:val="18"/>
          <w:szCs w:val="18"/>
        </w:rPr>
        <w:lastRenderedPageBreak/>
        <w:drawing>
          <wp:inline distT="114300" distB="114300" distL="114300" distR="114300" wp14:anchorId="6C52D359" wp14:editId="4082F957">
            <wp:extent cx="7052400" cy="4203700"/>
            <wp:effectExtent l="0" t="0" r="0" b="0"/>
            <wp:docPr id="8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1"/>
                    <a:srcRect/>
                    <a:stretch>
                      <a:fillRect/>
                    </a:stretch>
                  </pic:blipFill>
                  <pic:spPr>
                    <a:xfrm>
                      <a:off x="0" y="0"/>
                      <a:ext cx="7052400" cy="4203700"/>
                    </a:xfrm>
                    <a:prstGeom prst="rect">
                      <a:avLst/>
                    </a:prstGeom>
                    <a:ln/>
                  </pic:spPr>
                </pic:pic>
              </a:graphicData>
            </a:graphic>
          </wp:inline>
        </w:drawing>
      </w:r>
    </w:p>
    <w:p w14:paraId="55878A35" w14:textId="77777777" w:rsidR="00D75F07" w:rsidRDefault="00404909">
      <w:pPr>
        <w:jc w:val="center"/>
        <w:rPr>
          <w:sz w:val="18"/>
          <w:szCs w:val="18"/>
        </w:rPr>
      </w:pPr>
      <w:r>
        <w:rPr>
          <w:sz w:val="18"/>
          <w:szCs w:val="18"/>
        </w:rPr>
        <w:t>Table 67: Correlation, beta, Sharpe ratio and recommended weights of hedges - EY-R10YTY: +6.5% - 5-day look-ahead period</w:t>
      </w:r>
    </w:p>
    <w:p w14:paraId="4BCDEE5E" w14:textId="77777777" w:rsidR="00D75F07" w:rsidRDefault="00404909">
      <w:pPr>
        <w:jc w:val="center"/>
        <w:rPr>
          <w:sz w:val="18"/>
          <w:szCs w:val="18"/>
        </w:rPr>
      </w:pPr>
      <w:r>
        <w:rPr>
          <w:noProof/>
          <w:sz w:val="18"/>
          <w:szCs w:val="18"/>
        </w:rPr>
        <w:drawing>
          <wp:inline distT="114300" distB="114300" distL="114300" distR="114300" wp14:anchorId="7BA449C1" wp14:editId="68AE786E">
            <wp:extent cx="7052400" cy="3606800"/>
            <wp:effectExtent l="0" t="0" r="0" b="0"/>
            <wp:docPr id="11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2"/>
                    <a:srcRect/>
                    <a:stretch>
                      <a:fillRect/>
                    </a:stretch>
                  </pic:blipFill>
                  <pic:spPr>
                    <a:xfrm>
                      <a:off x="0" y="0"/>
                      <a:ext cx="7052400" cy="3606800"/>
                    </a:xfrm>
                    <a:prstGeom prst="rect">
                      <a:avLst/>
                    </a:prstGeom>
                    <a:ln/>
                  </pic:spPr>
                </pic:pic>
              </a:graphicData>
            </a:graphic>
          </wp:inline>
        </w:drawing>
      </w:r>
    </w:p>
    <w:p w14:paraId="363E6131" w14:textId="77777777" w:rsidR="00D75F07" w:rsidRDefault="00D75F07">
      <w:pPr>
        <w:jc w:val="center"/>
        <w:rPr>
          <w:sz w:val="18"/>
          <w:szCs w:val="18"/>
        </w:rPr>
      </w:pPr>
    </w:p>
    <w:p w14:paraId="122374DD" w14:textId="77777777" w:rsidR="00D75F07" w:rsidRDefault="00404909">
      <w:pPr>
        <w:jc w:val="center"/>
        <w:rPr>
          <w:sz w:val="18"/>
          <w:szCs w:val="18"/>
        </w:rPr>
      </w:pPr>
      <w:r>
        <w:rPr>
          <w:sz w:val="18"/>
          <w:szCs w:val="18"/>
        </w:rPr>
        <w:t>Chart 73: PV - EY-R10YTY: +6.5% - 5-day look-ahead period</w:t>
      </w:r>
    </w:p>
    <w:p w14:paraId="7546F083" w14:textId="77777777" w:rsidR="00D75F07" w:rsidRDefault="00404909">
      <w:pPr>
        <w:jc w:val="center"/>
        <w:rPr>
          <w:sz w:val="18"/>
          <w:szCs w:val="18"/>
        </w:rPr>
      </w:pPr>
      <w:r>
        <w:rPr>
          <w:noProof/>
          <w:sz w:val="18"/>
          <w:szCs w:val="18"/>
        </w:rPr>
        <w:lastRenderedPageBreak/>
        <w:drawing>
          <wp:inline distT="114300" distB="114300" distL="114300" distR="114300" wp14:anchorId="084F15F7" wp14:editId="5D0A5DD3">
            <wp:extent cx="7052400" cy="42164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7052400" cy="4216400"/>
                    </a:xfrm>
                    <a:prstGeom prst="rect">
                      <a:avLst/>
                    </a:prstGeom>
                    <a:ln/>
                  </pic:spPr>
                </pic:pic>
              </a:graphicData>
            </a:graphic>
          </wp:inline>
        </w:drawing>
      </w:r>
    </w:p>
    <w:p w14:paraId="3D85D491" w14:textId="77777777" w:rsidR="00D75F07" w:rsidRDefault="00404909">
      <w:pPr>
        <w:jc w:val="center"/>
        <w:rPr>
          <w:sz w:val="18"/>
          <w:szCs w:val="18"/>
        </w:rPr>
      </w:pPr>
      <w:r>
        <w:br w:type="page"/>
      </w:r>
    </w:p>
    <w:p w14:paraId="523885A2" w14:textId="77777777" w:rsidR="00D75F07" w:rsidRDefault="00404909">
      <w:pPr>
        <w:jc w:val="center"/>
        <w:rPr>
          <w:sz w:val="18"/>
          <w:szCs w:val="18"/>
        </w:rPr>
      </w:pPr>
      <w:r>
        <w:rPr>
          <w:sz w:val="18"/>
          <w:szCs w:val="18"/>
        </w:rPr>
        <w:lastRenderedPageBreak/>
        <w:t>Table 68: Performance indicators with and without hedges - EY-R10YTY: +6.5% - 5-day look-ahead period</w:t>
      </w:r>
    </w:p>
    <w:p w14:paraId="5D6B7237" w14:textId="77777777" w:rsidR="00D75F07" w:rsidRDefault="00404909">
      <w:pPr>
        <w:jc w:val="center"/>
        <w:rPr>
          <w:sz w:val="18"/>
          <w:szCs w:val="18"/>
        </w:rPr>
      </w:pPr>
      <w:r>
        <w:rPr>
          <w:noProof/>
          <w:sz w:val="18"/>
          <w:szCs w:val="18"/>
        </w:rPr>
        <w:drawing>
          <wp:inline distT="114300" distB="114300" distL="114300" distR="114300" wp14:anchorId="71BE5139" wp14:editId="2D3EF54A">
            <wp:extent cx="5581650" cy="1495425"/>
            <wp:effectExtent l="0" t="0" r="0" b="0"/>
            <wp:docPr id="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5581650" cy="1495425"/>
                    </a:xfrm>
                    <a:prstGeom prst="rect">
                      <a:avLst/>
                    </a:prstGeom>
                    <a:ln/>
                  </pic:spPr>
                </pic:pic>
              </a:graphicData>
            </a:graphic>
          </wp:inline>
        </w:drawing>
      </w:r>
    </w:p>
    <w:p w14:paraId="7E098410" w14:textId="77777777" w:rsidR="00D75F07" w:rsidRDefault="00D75F07">
      <w:pPr>
        <w:jc w:val="center"/>
        <w:rPr>
          <w:sz w:val="18"/>
          <w:szCs w:val="18"/>
        </w:rPr>
      </w:pPr>
    </w:p>
    <w:p w14:paraId="4E1C6315" w14:textId="77777777" w:rsidR="00D75F07" w:rsidRDefault="00D75F07">
      <w:pPr>
        <w:jc w:val="center"/>
        <w:rPr>
          <w:sz w:val="18"/>
          <w:szCs w:val="18"/>
        </w:rPr>
      </w:pPr>
    </w:p>
    <w:p w14:paraId="3211ED7A" w14:textId="77777777" w:rsidR="00D75F07" w:rsidRDefault="00D75F07">
      <w:pPr>
        <w:jc w:val="center"/>
        <w:rPr>
          <w:sz w:val="18"/>
          <w:szCs w:val="18"/>
        </w:rPr>
      </w:pPr>
    </w:p>
    <w:p w14:paraId="74D03AC8" w14:textId="77777777" w:rsidR="00D75F07" w:rsidRDefault="00404909">
      <w:pPr>
        <w:jc w:val="both"/>
        <w:rPr>
          <w:b/>
          <w:color w:val="38761D"/>
          <w:sz w:val="24"/>
          <w:szCs w:val="24"/>
        </w:rPr>
      </w:pPr>
      <w:r>
        <w:rPr>
          <w:b/>
          <w:color w:val="38761D"/>
          <w:sz w:val="24"/>
          <w:szCs w:val="24"/>
        </w:rPr>
        <w:t>EY-R10YTY: -0.5%, 10-day look-ahead period</w:t>
      </w:r>
    </w:p>
    <w:p w14:paraId="736C0636" w14:textId="77777777" w:rsidR="00D75F07" w:rsidRDefault="00D75F07">
      <w:pPr>
        <w:jc w:val="both"/>
        <w:rPr>
          <w:b/>
          <w:color w:val="38761D"/>
          <w:sz w:val="24"/>
          <w:szCs w:val="24"/>
        </w:rPr>
      </w:pPr>
    </w:p>
    <w:p w14:paraId="123733B1" w14:textId="77777777" w:rsidR="00D75F07" w:rsidRDefault="00404909">
      <w:pPr>
        <w:jc w:val="center"/>
        <w:rPr>
          <w:sz w:val="18"/>
          <w:szCs w:val="18"/>
        </w:rPr>
      </w:pPr>
      <w:r>
        <w:rPr>
          <w:sz w:val="18"/>
          <w:szCs w:val="18"/>
        </w:rPr>
        <w:t>Chart 74a: Correlation vs. Sharpe ratio EY-R10YTY: -0.5%, using SPY - 10-day look-ahead period</w:t>
      </w:r>
    </w:p>
    <w:p w14:paraId="6AC6BA55" w14:textId="77777777" w:rsidR="00D75F07" w:rsidRDefault="00404909">
      <w:pPr>
        <w:jc w:val="center"/>
        <w:rPr>
          <w:sz w:val="18"/>
          <w:szCs w:val="18"/>
        </w:rPr>
      </w:pPr>
      <w:r>
        <w:rPr>
          <w:noProof/>
          <w:sz w:val="18"/>
          <w:szCs w:val="18"/>
        </w:rPr>
        <w:drawing>
          <wp:inline distT="114300" distB="114300" distL="114300" distR="114300" wp14:anchorId="6354DBD7" wp14:editId="4982BDA4">
            <wp:extent cx="7052400" cy="4203700"/>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7052400" cy="4203700"/>
                    </a:xfrm>
                    <a:prstGeom prst="rect">
                      <a:avLst/>
                    </a:prstGeom>
                    <a:ln/>
                  </pic:spPr>
                </pic:pic>
              </a:graphicData>
            </a:graphic>
          </wp:inline>
        </w:drawing>
      </w:r>
    </w:p>
    <w:p w14:paraId="64E72F16" w14:textId="77777777" w:rsidR="00D75F07" w:rsidRDefault="00404909">
      <w:pPr>
        <w:jc w:val="center"/>
        <w:rPr>
          <w:sz w:val="18"/>
          <w:szCs w:val="18"/>
        </w:rPr>
      </w:pPr>
      <w:r>
        <w:br w:type="page"/>
      </w:r>
    </w:p>
    <w:p w14:paraId="14064187" w14:textId="77777777" w:rsidR="00D75F07" w:rsidRDefault="00404909">
      <w:pPr>
        <w:jc w:val="center"/>
        <w:rPr>
          <w:sz w:val="18"/>
          <w:szCs w:val="18"/>
        </w:rPr>
      </w:pPr>
      <w:r>
        <w:rPr>
          <w:sz w:val="18"/>
          <w:szCs w:val="18"/>
        </w:rPr>
        <w:lastRenderedPageBreak/>
        <w:t>Chart 74b: Correlation vs. Sharpe ratio EY-R10YTY: -0.5%, using QQQ - 10-day look-ahead period</w:t>
      </w:r>
    </w:p>
    <w:p w14:paraId="4F0C860C" w14:textId="77777777" w:rsidR="00D75F07" w:rsidRDefault="00404909">
      <w:pPr>
        <w:jc w:val="center"/>
        <w:rPr>
          <w:sz w:val="18"/>
          <w:szCs w:val="18"/>
        </w:rPr>
      </w:pPr>
      <w:r>
        <w:rPr>
          <w:noProof/>
          <w:sz w:val="18"/>
          <w:szCs w:val="18"/>
        </w:rPr>
        <w:drawing>
          <wp:inline distT="114300" distB="114300" distL="114300" distR="114300" wp14:anchorId="37B2240E" wp14:editId="481E0101">
            <wp:extent cx="7052400" cy="4203700"/>
            <wp:effectExtent l="0" t="0" r="0" b="0"/>
            <wp:docPr id="16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6"/>
                    <a:srcRect/>
                    <a:stretch>
                      <a:fillRect/>
                    </a:stretch>
                  </pic:blipFill>
                  <pic:spPr>
                    <a:xfrm>
                      <a:off x="0" y="0"/>
                      <a:ext cx="7052400" cy="4203700"/>
                    </a:xfrm>
                    <a:prstGeom prst="rect">
                      <a:avLst/>
                    </a:prstGeom>
                    <a:ln/>
                  </pic:spPr>
                </pic:pic>
              </a:graphicData>
            </a:graphic>
          </wp:inline>
        </w:drawing>
      </w:r>
    </w:p>
    <w:p w14:paraId="2E7F686E" w14:textId="77777777" w:rsidR="00D75F07" w:rsidRDefault="00D75F07">
      <w:pPr>
        <w:jc w:val="center"/>
        <w:rPr>
          <w:sz w:val="18"/>
          <w:szCs w:val="18"/>
        </w:rPr>
      </w:pPr>
    </w:p>
    <w:p w14:paraId="68D61747" w14:textId="77777777" w:rsidR="00D75F07" w:rsidRDefault="00D75F07">
      <w:pPr>
        <w:jc w:val="center"/>
        <w:rPr>
          <w:sz w:val="18"/>
          <w:szCs w:val="18"/>
        </w:rPr>
      </w:pPr>
    </w:p>
    <w:p w14:paraId="7847FE65" w14:textId="77777777" w:rsidR="00D75F07" w:rsidRDefault="00404909">
      <w:pPr>
        <w:jc w:val="center"/>
        <w:rPr>
          <w:sz w:val="18"/>
          <w:szCs w:val="18"/>
        </w:rPr>
      </w:pPr>
      <w:r>
        <w:rPr>
          <w:sz w:val="18"/>
          <w:szCs w:val="18"/>
        </w:rPr>
        <w:t>Table 69: Correlation, beta, Sharpe ratio and recommended weights of hedges - EY-R10YTY: -0.5% - 10-day look-ahead period</w:t>
      </w:r>
    </w:p>
    <w:p w14:paraId="7CF74F57" w14:textId="77777777" w:rsidR="00D75F07" w:rsidRDefault="00404909">
      <w:pPr>
        <w:jc w:val="center"/>
        <w:rPr>
          <w:sz w:val="18"/>
          <w:szCs w:val="18"/>
        </w:rPr>
      </w:pPr>
      <w:r>
        <w:rPr>
          <w:noProof/>
          <w:sz w:val="18"/>
          <w:szCs w:val="18"/>
        </w:rPr>
        <w:drawing>
          <wp:inline distT="114300" distB="114300" distL="114300" distR="114300" wp14:anchorId="42196DFD" wp14:editId="649D4897">
            <wp:extent cx="7052400" cy="36195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7052400" cy="3619500"/>
                    </a:xfrm>
                    <a:prstGeom prst="rect">
                      <a:avLst/>
                    </a:prstGeom>
                    <a:ln/>
                  </pic:spPr>
                </pic:pic>
              </a:graphicData>
            </a:graphic>
          </wp:inline>
        </w:drawing>
      </w:r>
    </w:p>
    <w:p w14:paraId="36ABB71D" w14:textId="77777777" w:rsidR="00D75F07" w:rsidRDefault="00404909">
      <w:pPr>
        <w:jc w:val="center"/>
        <w:rPr>
          <w:sz w:val="18"/>
          <w:szCs w:val="18"/>
        </w:rPr>
      </w:pPr>
      <w:r>
        <w:br w:type="page"/>
      </w:r>
    </w:p>
    <w:p w14:paraId="749CACC6" w14:textId="77777777" w:rsidR="00D75F07" w:rsidRDefault="00404909">
      <w:pPr>
        <w:jc w:val="center"/>
        <w:rPr>
          <w:sz w:val="18"/>
          <w:szCs w:val="18"/>
        </w:rPr>
      </w:pPr>
      <w:r>
        <w:rPr>
          <w:sz w:val="18"/>
          <w:szCs w:val="18"/>
        </w:rPr>
        <w:lastRenderedPageBreak/>
        <w:t>Chart 75: PV - EY-R10YTY: -0.5% - 10-day look-ahead period</w:t>
      </w:r>
    </w:p>
    <w:p w14:paraId="399D0E95" w14:textId="77777777" w:rsidR="00D75F07" w:rsidRDefault="00404909">
      <w:pPr>
        <w:jc w:val="center"/>
        <w:rPr>
          <w:sz w:val="18"/>
          <w:szCs w:val="18"/>
        </w:rPr>
      </w:pPr>
      <w:r>
        <w:rPr>
          <w:noProof/>
          <w:sz w:val="18"/>
          <w:szCs w:val="18"/>
        </w:rPr>
        <w:drawing>
          <wp:inline distT="114300" distB="114300" distL="114300" distR="114300" wp14:anchorId="00F6C637" wp14:editId="161EDB0A">
            <wp:extent cx="7052400" cy="4216400"/>
            <wp:effectExtent l="0" t="0" r="0" b="0"/>
            <wp:docPr id="15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8"/>
                    <a:srcRect/>
                    <a:stretch>
                      <a:fillRect/>
                    </a:stretch>
                  </pic:blipFill>
                  <pic:spPr>
                    <a:xfrm>
                      <a:off x="0" y="0"/>
                      <a:ext cx="7052400" cy="4216400"/>
                    </a:xfrm>
                    <a:prstGeom prst="rect">
                      <a:avLst/>
                    </a:prstGeom>
                    <a:ln/>
                  </pic:spPr>
                </pic:pic>
              </a:graphicData>
            </a:graphic>
          </wp:inline>
        </w:drawing>
      </w:r>
    </w:p>
    <w:p w14:paraId="59453E46" w14:textId="77777777" w:rsidR="00D75F07" w:rsidRDefault="00D75F07">
      <w:pPr>
        <w:jc w:val="center"/>
        <w:rPr>
          <w:sz w:val="18"/>
          <w:szCs w:val="18"/>
        </w:rPr>
      </w:pPr>
    </w:p>
    <w:p w14:paraId="5072DC98" w14:textId="77777777" w:rsidR="00D75F07" w:rsidRDefault="00404909">
      <w:pPr>
        <w:jc w:val="center"/>
        <w:rPr>
          <w:sz w:val="18"/>
          <w:szCs w:val="18"/>
        </w:rPr>
      </w:pPr>
      <w:r>
        <w:rPr>
          <w:sz w:val="18"/>
          <w:szCs w:val="18"/>
        </w:rPr>
        <w:t>Table 70: Performance indicators with and without hedges - EY-R10YTY: -0.5% - 10-day look-ahead period</w:t>
      </w:r>
    </w:p>
    <w:p w14:paraId="618592E7" w14:textId="77777777" w:rsidR="00D75F07" w:rsidRDefault="00404909">
      <w:pPr>
        <w:jc w:val="center"/>
        <w:rPr>
          <w:sz w:val="18"/>
          <w:szCs w:val="18"/>
        </w:rPr>
      </w:pPr>
      <w:r>
        <w:rPr>
          <w:noProof/>
          <w:sz w:val="18"/>
          <w:szCs w:val="18"/>
        </w:rPr>
        <w:drawing>
          <wp:inline distT="114300" distB="114300" distL="114300" distR="114300" wp14:anchorId="38C5C4CF" wp14:editId="161C04B1">
            <wp:extent cx="5600700" cy="1485900"/>
            <wp:effectExtent l="0" t="0" r="0" b="0"/>
            <wp:docPr id="18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9"/>
                    <a:srcRect/>
                    <a:stretch>
                      <a:fillRect/>
                    </a:stretch>
                  </pic:blipFill>
                  <pic:spPr>
                    <a:xfrm>
                      <a:off x="0" y="0"/>
                      <a:ext cx="5600700" cy="1485900"/>
                    </a:xfrm>
                    <a:prstGeom prst="rect">
                      <a:avLst/>
                    </a:prstGeom>
                    <a:ln/>
                  </pic:spPr>
                </pic:pic>
              </a:graphicData>
            </a:graphic>
          </wp:inline>
        </w:drawing>
      </w:r>
    </w:p>
    <w:p w14:paraId="5C618008" w14:textId="77777777" w:rsidR="00D75F07" w:rsidRDefault="00404909">
      <w:pPr>
        <w:jc w:val="center"/>
        <w:rPr>
          <w:sz w:val="18"/>
          <w:szCs w:val="18"/>
        </w:rPr>
      </w:pPr>
      <w:r>
        <w:br w:type="page"/>
      </w:r>
    </w:p>
    <w:p w14:paraId="2379A420" w14:textId="77777777" w:rsidR="00D75F07" w:rsidRDefault="00404909">
      <w:pPr>
        <w:jc w:val="both"/>
        <w:rPr>
          <w:sz w:val="18"/>
          <w:szCs w:val="18"/>
        </w:rPr>
      </w:pPr>
      <w:r>
        <w:rPr>
          <w:b/>
          <w:color w:val="38761D"/>
          <w:sz w:val="24"/>
          <w:szCs w:val="24"/>
        </w:rPr>
        <w:lastRenderedPageBreak/>
        <w:t>EY-R10YTY: +3.8%, 10-day look-ahead period</w:t>
      </w:r>
    </w:p>
    <w:p w14:paraId="0C9A24B6" w14:textId="77777777" w:rsidR="00D75F07" w:rsidRDefault="00D75F07">
      <w:pPr>
        <w:jc w:val="both"/>
        <w:rPr>
          <w:sz w:val="18"/>
          <w:szCs w:val="18"/>
        </w:rPr>
      </w:pPr>
    </w:p>
    <w:p w14:paraId="107F1FBB" w14:textId="77777777" w:rsidR="00D75F07" w:rsidRDefault="00404909">
      <w:pPr>
        <w:jc w:val="center"/>
        <w:rPr>
          <w:sz w:val="18"/>
          <w:szCs w:val="18"/>
        </w:rPr>
      </w:pPr>
      <w:r>
        <w:rPr>
          <w:sz w:val="18"/>
          <w:szCs w:val="18"/>
        </w:rPr>
        <w:t>Chart 76a: Correlation vs. Sharpe ratio EY-R10YTY: +3.8%, using SPY - 10-day look-ahead period</w:t>
      </w:r>
    </w:p>
    <w:p w14:paraId="77F0F297" w14:textId="77777777" w:rsidR="00D75F07" w:rsidRDefault="00404909">
      <w:pPr>
        <w:jc w:val="center"/>
        <w:rPr>
          <w:sz w:val="18"/>
          <w:szCs w:val="18"/>
        </w:rPr>
      </w:pPr>
      <w:r>
        <w:rPr>
          <w:noProof/>
          <w:sz w:val="18"/>
          <w:szCs w:val="18"/>
        </w:rPr>
        <w:drawing>
          <wp:inline distT="114300" distB="114300" distL="114300" distR="114300" wp14:anchorId="4BECC108" wp14:editId="54B63BBA">
            <wp:extent cx="7052400" cy="4203700"/>
            <wp:effectExtent l="0" t="0" r="0" b="0"/>
            <wp:docPr id="11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0"/>
                    <a:srcRect/>
                    <a:stretch>
                      <a:fillRect/>
                    </a:stretch>
                  </pic:blipFill>
                  <pic:spPr>
                    <a:xfrm>
                      <a:off x="0" y="0"/>
                      <a:ext cx="7052400" cy="4203700"/>
                    </a:xfrm>
                    <a:prstGeom prst="rect">
                      <a:avLst/>
                    </a:prstGeom>
                    <a:ln/>
                  </pic:spPr>
                </pic:pic>
              </a:graphicData>
            </a:graphic>
          </wp:inline>
        </w:drawing>
      </w:r>
    </w:p>
    <w:p w14:paraId="71978AC1" w14:textId="77777777" w:rsidR="00D75F07" w:rsidRDefault="00404909">
      <w:pPr>
        <w:jc w:val="center"/>
        <w:rPr>
          <w:sz w:val="18"/>
          <w:szCs w:val="18"/>
        </w:rPr>
      </w:pPr>
      <w:r>
        <w:rPr>
          <w:sz w:val="18"/>
          <w:szCs w:val="18"/>
        </w:rPr>
        <w:t>Chart 76b: Correlation vs. Sharpe ratio EY-R10YTY: +3.8%, using QQQ - 10-day look-ahead period</w:t>
      </w:r>
    </w:p>
    <w:p w14:paraId="5DB310B6" w14:textId="77777777" w:rsidR="00D75F07" w:rsidRDefault="00404909">
      <w:pPr>
        <w:jc w:val="center"/>
        <w:rPr>
          <w:sz w:val="18"/>
          <w:szCs w:val="18"/>
        </w:rPr>
      </w:pPr>
      <w:r>
        <w:rPr>
          <w:noProof/>
          <w:sz w:val="18"/>
          <w:szCs w:val="18"/>
        </w:rPr>
        <w:lastRenderedPageBreak/>
        <w:drawing>
          <wp:inline distT="114300" distB="114300" distL="114300" distR="114300" wp14:anchorId="6E1E3705" wp14:editId="18319C9A">
            <wp:extent cx="7052400" cy="42037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7052400" cy="4203700"/>
                    </a:xfrm>
                    <a:prstGeom prst="rect">
                      <a:avLst/>
                    </a:prstGeom>
                    <a:ln/>
                  </pic:spPr>
                </pic:pic>
              </a:graphicData>
            </a:graphic>
          </wp:inline>
        </w:drawing>
      </w:r>
    </w:p>
    <w:p w14:paraId="39950709" w14:textId="77777777" w:rsidR="00D75F07" w:rsidRDefault="00404909">
      <w:pPr>
        <w:jc w:val="center"/>
        <w:rPr>
          <w:sz w:val="18"/>
          <w:szCs w:val="18"/>
        </w:rPr>
      </w:pPr>
      <w:r>
        <w:rPr>
          <w:sz w:val="18"/>
          <w:szCs w:val="18"/>
        </w:rPr>
        <w:t>Table 71: Correlation, beta, Sharpe ratio and recommended weights of hedges - EY-R10YTY: +3.8% - 10-day look-ahead period</w:t>
      </w:r>
    </w:p>
    <w:p w14:paraId="253BB3D8" w14:textId="77777777" w:rsidR="00D75F07" w:rsidRDefault="00404909">
      <w:pPr>
        <w:jc w:val="center"/>
        <w:rPr>
          <w:sz w:val="18"/>
          <w:szCs w:val="18"/>
        </w:rPr>
      </w:pPr>
      <w:r>
        <w:rPr>
          <w:noProof/>
          <w:sz w:val="18"/>
          <w:szCs w:val="18"/>
        </w:rPr>
        <w:drawing>
          <wp:inline distT="114300" distB="114300" distL="114300" distR="114300" wp14:anchorId="42517512" wp14:editId="4A050510">
            <wp:extent cx="7052400" cy="3581400"/>
            <wp:effectExtent l="0" t="0" r="0" b="0"/>
            <wp:docPr id="11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2"/>
                    <a:srcRect/>
                    <a:stretch>
                      <a:fillRect/>
                    </a:stretch>
                  </pic:blipFill>
                  <pic:spPr>
                    <a:xfrm>
                      <a:off x="0" y="0"/>
                      <a:ext cx="7052400" cy="3581400"/>
                    </a:xfrm>
                    <a:prstGeom prst="rect">
                      <a:avLst/>
                    </a:prstGeom>
                    <a:ln/>
                  </pic:spPr>
                </pic:pic>
              </a:graphicData>
            </a:graphic>
          </wp:inline>
        </w:drawing>
      </w:r>
    </w:p>
    <w:p w14:paraId="7E6F3B8F" w14:textId="77777777" w:rsidR="00D75F07" w:rsidRDefault="00D75F07">
      <w:pPr>
        <w:jc w:val="center"/>
        <w:rPr>
          <w:sz w:val="18"/>
          <w:szCs w:val="18"/>
        </w:rPr>
      </w:pPr>
    </w:p>
    <w:p w14:paraId="0C4CD1D7" w14:textId="77777777" w:rsidR="00D75F07" w:rsidRDefault="00404909">
      <w:pPr>
        <w:jc w:val="center"/>
        <w:rPr>
          <w:sz w:val="18"/>
          <w:szCs w:val="18"/>
        </w:rPr>
      </w:pPr>
      <w:r>
        <w:rPr>
          <w:sz w:val="18"/>
          <w:szCs w:val="18"/>
        </w:rPr>
        <w:t>Chart 77: PV - EY-R10YTY: +3.8% - 10-day look-ahead period</w:t>
      </w:r>
    </w:p>
    <w:p w14:paraId="7A1AE65D" w14:textId="77777777" w:rsidR="00D75F07" w:rsidRDefault="00404909">
      <w:pPr>
        <w:jc w:val="center"/>
        <w:rPr>
          <w:sz w:val="18"/>
          <w:szCs w:val="18"/>
        </w:rPr>
      </w:pPr>
      <w:r>
        <w:rPr>
          <w:noProof/>
          <w:sz w:val="18"/>
          <w:szCs w:val="18"/>
        </w:rPr>
        <w:lastRenderedPageBreak/>
        <w:drawing>
          <wp:inline distT="114300" distB="114300" distL="114300" distR="114300" wp14:anchorId="3DA00244" wp14:editId="3E83C12C">
            <wp:extent cx="7052400" cy="4216400"/>
            <wp:effectExtent l="0" t="0" r="0" b="0"/>
            <wp:docPr id="142"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33"/>
                    <a:srcRect/>
                    <a:stretch>
                      <a:fillRect/>
                    </a:stretch>
                  </pic:blipFill>
                  <pic:spPr>
                    <a:xfrm>
                      <a:off x="0" y="0"/>
                      <a:ext cx="7052400" cy="4216400"/>
                    </a:xfrm>
                    <a:prstGeom prst="rect">
                      <a:avLst/>
                    </a:prstGeom>
                    <a:ln/>
                  </pic:spPr>
                </pic:pic>
              </a:graphicData>
            </a:graphic>
          </wp:inline>
        </w:drawing>
      </w:r>
    </w:p>
    <w:p w14:paraId="75048600" w14:textId="77777777" w:rsidR="00D75F07" w:rsidRDefault="00404909">
      <w:pPr>
        <w:jc w:val="center"/>
        <w:rPr>
          <w:sz w:val="18"/>
          <w:szCs w:val="18"/>
        </w:rPr>
      </w:pPr>
      <w:r>
        <w:br w:type="page"/>
      </w:r>
    </w:p>
    <w:p w14:paraId="4995B6E5" w14:textId="77777777" w:rsidR="00D75F07" w:rsidRDefault="00404909">
      <w:pPr>
        <w:jc w:val="center"/>
        <w:rPr>
          <w:sz w:val="18"/>
          <w:szCs w:val="18"/>
        </w:rPr>
      </w:pPr>
      <w:r>
        <w:rPr>
          <w:sz w:val="18"/>
          <w:szCs w:val="18"/>
        </w:rPr>
        <w:lastRenderedPageBreak/>
        <w:t>Table 72: Performance indicators with and without hedges - EY-R10YTY: +3.8% - 10-day look-ahead period</w:t>
      </w:r>
    </w:p>
    <w:p w14:paraId="0F9643A4" w14:textId="77777777" w:rsidR="00D75F07" w:rsidRDefault="00404909">
      <w:pPr>
        <w:jc w:val="center"/>
        <w:rPr>
          <w:sz w:val="18"/>
          <w:szCs w:val="18"/>
        </w:rPr>
      </w:pPr>
      <w:r>
        <w:rPr>
          <w:noProof/>
          <w:sz w:val="18"/>
          <w:szCs w:val="18"/>
        </w:rPr>
        <w:drawing>
          <wp:inline distT="114300" distB="114300" distL="114300" distR="114300" wp14:anchorId="5F967FFC" wp14:editId="2BB8DFEF">
            <wp:extent cx="5600700" cy="1495425"/>
            <wp:effectExtent l="0" t="0" r="0" b="0"/>
            <wp:docPr id="144"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4"/>
                    <a:srcRect/>
                    <a:stretch>
                      <a:fillRect/>
                    </a:stretch>
                  </pic:blipFill>
                  <pic:spPr>
                    <a:xfrm>
                      <a:off x="0" y="0"/>
                      <a:ext cx="5600700" cy="1495425"/>
                    </a:xfrm>
                    <a:prstGeom prst="rect">
                      <a:avLst/>
                    </a:prstGeom>
                    <a:ln/>
                  </pic:spPr>
                </pic:pic>
              </a:graphicData>
            </a:graphic>
          </wp:inline>
        </w:drawing>
      </w:r>
    </w:p>
    <w:p w14:paraId="12AD92E5" w14:textId="77777777" w:rsidR="00D75F07" w:rsidRDefault="00D75F07">
      <w:pPr>
        <w:jc w:val="center"/>
        <w:rPr>
          <w:sz w:val="18"/>
          <w:szCs w:val="18"/>
        </w:rPr>
      </w:pPr>
    </w:p>
    <w:p w14:paraId="27E90407" w14:textId="77777777" w:rsidR="00D75F07" w:rsidRDefault="00D75F07">
      <w:pPr>
        <w:jc w:val="center"/>
        <w:rPr>
          <w:sz w:val="18"/>
          <w:szCs w:val="18"/>
        </w:rPr>
      </w:pPr>
    </w:p>
    <w:p w14:paraId="314C5A29" w14:textId="77777777" w:rsidR="00D75F07" w:rsidRDefault="00D75F07">
      <w:pPr>
        <w:jc w:val="center"/>
        <w:rPr>
          <w:sz w:val="18"/>
          <w:szCs w:val="18"/>
        </w:rPr>
      </w:pPr>
    </w:p>
    <w:p w14:paraId="592B93A9" w14:textId="77777777" w:rsidR="00D75F07" w:rsidRDefault="00D75F07">
      <w:pPr>
        <w:jc w:val="center"/>
        <w:rPr>
          <w:sz w:val="18"/>
          <w:szCs w:val="18"/>
        </w:rPr>
      </w:pPr>
    </w:p>
    <w:p w14:paraId="77CCA025" w14:textId="77777777" w:rsidR="00D75F07" w:rsidRDefault="00404909">
      <w:pPr>
        <w:jc w:val="both"/>
        <w:rPr>
          <w:b/>
          <w:color w:val="38761D"/>
          <w:sz w:val="24"/>
          <w:szCs w:val="24"/>
        </w:rPr>
      </w:pPr>
      <w:r>
        <w:rPr>
          <w:b/>
          <w:color w:val="38761D"/>
          <w:sz w:val="24"/>
          <w:szCs w:val="24"/>
        </w:rPr>
        <w:t>EY-R10YTY: +6.5%, 10-day look-ahead period</w:t>
      </w:r>
    </w:p>
    <w:p w14:paraId="00289EE9" w14:textId="77777777" w:rsidR="00D75F07" w:rsidRDefault="00D75F07">
      <w:pPr>
        <w:jc w:val="both"/>
        <w:rPr>
          <w:b/>
          <w:color w:val="38761D"/>
          <w:sz w:val="24"/>
          <w:szCs w:val="24"/>
        </w:rPr>
      </w:pPr>
    </w:p>
    <w:p w14:paraId="316500AD" w14:textId="77777777" w:rsidR="00D75F07" w:rsidRDefault="00404909">
      <w:pPr>
        <w:jc w:val="center"/>
        <w:rPr>
          <w:sz w:val="18"/>
          <w:szCs w:val="18"/>
        </w:rPr>
      </w:pPr>
      <w:r>
        <w:rPr>
          <w:sz w:val="18"/>
          <w:szCs w:val="18"/>
        </w:rPr>
        <w:t>Chart 78a: Correlation vs. Sharpe ratio EY-R10YTY: +6.5%, using SPY - 10-day look-ahead period</w:t>
      </w:r>
    </w:p>
    <w:p w14:paraId="0AD7B0E3" w14:textId="77777777" w:rsidR="00D75F07" w:rsidRDefault="00404909">
      <w:pPr>
        <w:jc w:val="center"/>
        <w:rPr>
          <w:sz w:val="18"/>
          <w:szCs w:val="18"/>
        </w:rPr>
      </w:pPr>
      <w:r>
        <w:rPr>
          <w:noProof/>
          <w:sz w:val="18"/>
          <w:szCs w:val="18"/>
        </w:rPr>
        <w:drawing>
          <wp:inline distT="114300" distB="114300" distL="114300" distR="114300" wp14:anchorId="6E739130" wp14:editId="6295D592">
            <wp:extent cx="7052400" cy="4203700"/>
            <wp:effectExtent l="0" t="0" r="0" b="0"/>
            <wp:docPr id="212"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35"/>
                    <a:srcRect/>
                    <a:stretch>
                      <a:fillRect/>
                    </a:stretch>
                  </pic:blipFill>
                  <pic:spPr>
                    <a:xfrm>
                      <a:off x="0" y="0"/>
                      <a:ext cx="7052400" cy="4203700"/>
                    </a:xfrm>
                    <a:prstGeom prst="rect">
                      <a:avLst/>
                    </a:prstGeom>
                    <a:ln/>
                  </pic:spPr>
                </pic:pic>
              </a:graphicData>
            </a:graphic>
          </wp:inline>
        </w:drawing>
      </w:r>
    </w:p>
    <w:p w14:paraId="0FA9B3A2" w14:textId="77777777" w:rsidR="00D75F07" w:rsidRDefault="00404909">
      <w:pPr>
        <w:jc w:val="center"/>
        <w:rPr>
          <w:sz w:val="18"/>
          <w:szCs w:val="18"/>
        </w:rPr>
      </w:pPr>
      <w:r>
        <w:br w:type="page"/>
      </w:r>
    </w:p>
    <w:p w14:paraId="7C5D060B" w14:textId="77777777" w:rsidR="00D75F07" w:rsidRDefault="00404909">
      <w:pPr>
        <w:jc w:val="center"/>
        <w:rPr>
          <w:sz w:val="18"/>
          <w:szCs w:val="18"/>
        </w:rPr>
      </w:pPr>
      <w:r>
        <w:rPr>
          <w:sz w:val="18"/>
          <w:szCs w:val="18"/>
        </w:rPr>
        <w:lastRenderedPageBreak/>
        <w:t>Chart 78b: Correlation vs. Sharpe ratio EY-R10YTY: +6.5%, using QQQ - 10-day look-ahead period</w:t>
      </w:r>
    </w:p>
    <w:p w14:paraId="17BDDD0B" w14:textId="77777777" w:rsidR="00D75F07" w:rsidRDefault="00404909">
      <w:pPr>
        <w:jc w:val="center"/>
        <w:rPr>
          <w:sz w:val="18"/>
          <w:szCs w:val="18"/>
        </w:rPr>
      </w:pPr>
      <w:r>
        <w:rPr>
          <w:noProof/>
          <w:sz w:val="18"/>
          <w:szCs w:val="18"/>
        </w:rPr>
        <w:drawing>
          <wp:inline distT="114300" distB="114300" distL="114300" distR="114300" wp14:anchorId="292F3B0D" wp14:editId="13F9229D">
            <wp:extent cx="7052400" cy="420370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7052400" cy="4203700"/>
                    </a:xfrm>
                    <a:prstGeom prst="rect">
                      <a:avLst/>
                    </a:prstGeom>
                    <a:ln/>
                  </pic:spPr>
                </pic:pic>
              </a:graphicData>
            </a:graphic>
          </wp:inline>
        </w:drawing>
      </w:r>
    </w:p>
    <w:p w14:paraId="69D5AB03" w14:textId="77777777" w:rsidR="00D75F07" w:rsidRDefault="00D75F07">
      <w:pPr>
        <w:jc w:val="center"/>
        <w:rPr>
          <w:sz w:val="18"/>
          <w:szCs w:val="18"/>
        </w:rPr>
      </w:pPr>
    </w:p>
    <w:p w14:paraId="450E7EE3" w14:textId="77777777" w:rsidR="00D75F07" w:rsidRDefault="00404909">
      <w:pPr>
        <w:jc w:val="center"/>
        <w:rPr>
          <w:sz w:val="18"/>
          <w:szCs w:val="18"/>
        </w:rPr>
      </w:pPr>
      <w:r>
        <w:rPr>
          <w:sz w:val="18"/>
          <w:szCs w:val="18"/>
        </w:rPr>
        <w:t>Table 73: Correlation, beta, Sharpe ratio and recommended weights of hedges - EY-R10YTY: +6.5% - 10-day look-ahead period</w:t>
      </w:r>
    </w:p>
    <w:p w14:paraId="58269A6A" w14:textId="77777777" w:rsidR="00D75F07" w:rsidRDefault="00404909">
      <w:pPr>
        <w:jc w:val="center"/>
        <w:rPr>
          <w:sz w:val="18"/>
          <w:szCs w:val="18"/>
        </w:rPr>
      </w:pPr>
      <w:r>
        <w:rPr>
          <w:noProof/>
          <w:sz w:val="18"/>
          <w:szCs w:val="18"/>
        </w:rPr>
        <w:drawing>
          <wp:inline distT="114300" distB="114300" distL="114300" distR="114300" wp14:anchorId="57B1A00C" wp14:editId="5455E358">
            <wp:extent cx="7052400" cy="3619500"/>
            <wp:effectExtent l="0" t="0" r="0" b="0"/>
            <wp:docPr id="194"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7"/>
                    <a:srcRect/>
                    <a:stretch>
                      <a:fillRect/>
                    </a:stretch>
                  </pic:blipFill>
                  <pic:spPr>
                    <a:xfrm>
                      <a:off x="0" y="0"/>
                      <a:ext cx="7052400" cy="3619500"/>
                    </a:xfrm>
                    <a:prstGeom prst="rect">
                      <a:avLst/>
                    </a:prstGeom>
                    <a:ln/>
                  </pic:spPr>
                </pic:pic>
              </a:graphicData>
            </a:graphic>
          </wp:inline>
        </w:drawing>
      </w:r>
    </w:p>
    <w:p w14:paraId="5BFEA714" w14:textId="77777777" w:rsidR="00D75F07" w:rsidRDefault="00404909">
      <w:pPr>
        <w:jc w:val="center"/>
        <w:rPr>
          <w:sz w:val="18"/>
          <w:szCs w:val="18"/>
        </w:rPr>
      </w:pPr>
      <w:r>
        <w:br w:type="page"/>
      </w:r>
    </w:p>
    <w:p w14:paraId="535C8A8C" w14:textId="77777777" w:rsidR="00D75F07" w:rsidRDefault="00404909">
      <w:pPr>
        <w:jc w:val="center"/>
        <w:rPr>
          <w:sz w:val="18"/>
          <w:szCs w:val="18"/>
        </w:rPr>
      </w:pPr>
      <w:r>
        <w:rPr>
          <w:sz w:val="18"/>
          <w:szCs w:val="18"/>
        </w:rPr>
        <w:lastRenderedPageBreak/>
        <w:t>Chart 79: PV - EY-R10YTY: +6.5% - 10-day look-ahead period</w:t>
      </w:r>
    </w:p>
    <w:p w14:paraId="203C065C" w14:textId="77777777" w:rsidR="00D75F07" w:rsidRDefault="00404909">
      <w:pPr>
        <w:jc w:val="center"/>
        <w:rPr>
          <w:sz w:val="18"/>
          <w:szCs w:val="18"/>
        </w:rPr>
      </w:pPr>
      <w:r>
        <w:rPr>
          <w:noProof/>
          <w:sz w:val="18"/>
          <w:szCs w:val="18"/>
        </w:rPr>
        <w:drawing>
          <wp:inline distT="114300" distB="114300" distL="114300" distR="114300" wp14:anchorId="7DFF91E3" wp14:editId="508CB962">
            <wp:extent cx="7052400" cy="4216400"/>
            <wp:effectExtent l="0" t="0" r="0" b="0"/>
            <wp:docPr id="164"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38"/>
                    <a:srcRect/>
                    <a:stretch>
                      <a:fillRect/>
                    </a:stretch>
                  </pic:blipFill>
                  <pic:spPr>
                    <a:xfrm>
                      <a:off x="0" y="0"/>
                      <a:ext cx="7052400" cy="4216400"/>
                    </a:xfrm>
                    <a:prstGeom prst="rect">
                      <a:avLst/>
                    </a:prstGeom>
                    <a:ln/>
                  </pic:spPr>
                </pic:pic>
              </a:graphicData>
            </a:graphic>
          </wp:inline>
        </w:drawing>
      </w:r>
    </w:p>
    <w:p w14:paraId="39CCC7AC" w14:textId="77777777" w:rsidR="00D75F07" w:rsidRDefault="00D75F07">
      <w:pPr>
        <w:jc w:val="center"/>
        <w:rPr>
          <w:sz w:val="18"/>
          <w:szCs w:val="18"/>
        </w:rPr>
      </w:pPr>
    </w:p>
    <w:p w14:paraId="0014D992" w14:textId="77777777" w:rsidR="00D75F07" w:rsidRDefault="00404909">
      <w:pPr>
        <w:jc w:val="center"/>
        <w:rPr>
          <w:sz w:val="18"/>
          <w:szCs w:val="18"/>
        </w:rPr>
      </w:pPr>
      <w:r>
        <w:rPr>
          <w:sz w:val="18"/>
          <w:szCs w:val="18"/>
        </w:rPr>
        <w:t>Table 74: Performance indicators with and without hedges - EY-R10YTY: +6.5% - 10-day look-ahead period</w:t>
      </w:r>
    </w:p>
    <w:p w14:paraId="3AEB5F7A" w14:textId="77777777" w:rsidR="00D75F07" w:rsidRDefault="00404909">
      <w:pPr>
        <w:jc w:val="center"/>
        <w:rPr>
          <w:sz w:val="18"/>
          <w:szCs w:val="18"/>
        </w:rPr>
      </w:pPr>
      <w:r>
        <w:rPr>
          <w:noProof/>
          <w:sz w:val="18"/>
          <w:szCs w:val="18"/>
        </w:rPr>
        <w:drawing>
          <wp:inline distT="114300" distB="114300" distL="114300" distR="114300" wp14:anchorId="41B0D19F" wp14:editId="3766A59E">
            <wp:extent cx="5600700" cy="1495425"/>
            <wp:effectExtent l="0" t="0" r="0" b="0"/>
            <wp:docPr id="14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9"/>
                    <a:srcRect/>
                    <a:stretch>
                      <a:fillRect/>
                    </a:stretch>
                  </pic:blipFill>
                  <pic:spPr>
                    <a:xfrm>
                      <a:off x="0" y="0"/>
                      <a:ext cx="5600700" cy="1495425"/>
                    </a:xfrm>
                    <a:prstGeom prst="rect">
                      <a:avLst/>
                    </a:prstGeom>
                    <a:ln/>
                  </pic:spPr>
                </pic:pic>
              </a:graphicData>
            </a:graphic>
          </wp:inline>
        </w:drawing>
      </w:r>
    </w:p>
    <w:p w14:paraId="72BA8FF4" w14:textId="77777777" w:rsidR="00D75F07" w:rsidRDefault="00D75F07">
      <w:pPr>
        <w:jc w:val="center"/>
        <w:rPr>
          <w:sz w:val="18"/>
          <w:szCs w:val="18"/>
        </w:rPr>
      </w:pPr>
    </w:p>
    <w:p w14:paraId="7A3179CD" w14:textId="77777777" w:rsidR="00D75F07" w:rsidRDefault="00D75F07">
      <w:pPr>
        <w:jc w:val="center"/>
        <w:rPr>
          <w:sz w:val="18"/>
          <w:szCs w:val="18"/>
        </w:rPr>
      </w:pPr>
    </w:p>
    <w:p w14:paraId="571A988B" w14:textId="77777777" w:rsidR="00D75F07" w:rsidRDefault="00404909">
      <w:pPr>
        <w:jc w:val="both"/>
        <w:rPr>
          <w:b/>
          <w:color w:val="38761D"/>
          <w:sz w:val="24"/>
          <w:szCs w:val="24"/>
        </w:rPr>
      </w:pPr>
      <w:r>
        <w:br w:type="page"/>
      </w:r>
    </w:p>
    <w:p w14:paraId="325AFC11" w14:textId="77777777" w:rsidR="00D75F07" w:rsidRDefault="00404909">
      <w:pPr>
        <w:jc w:val="both"/>
        <w:rPr>
          <w:sz w:val="18"/>
          <w:szCs w:val="18"/>
        </w:rPr>
      </w:pPr>
      <w:r>
        <w:rPr>
          <w:b/>
          <w:color w:val="38761D"/>
          <w:sz w:val="24"/>
          <w:szCs w:val="24"/>
        </w:rPr>
        <w:lastRenderedPageBreak/>
        <w:t>EY-R10YTY: -0.5%, 1-month look-ahead period</w:t>
      </w:r>
    </w:p>
    <w:p w14:paraId="6784DD68" w14:textId="77777777" w:rsidR="00D75F07" w:rsidRDefault="00D75F07">
      <w:pPr>
        <w:jc w:val="center"/>
        <w:rPr>
          <w:sz w:val="18"/>
          <w:szCs w:val="18"/>
        </w:rPr>
      </w:pPr>
    </w:p>
    <w:p w14:paraId="6F2ED8B0" w14:textId="77777777" w:rsidR="00D75F07" w:rsidRDefault="00404909">
      <w:pPr>
        <w:jc w:val="center"/>
        <w:rPr>
          <w:sz w:val="18"/>
          <w:szCs w:val="18"/>
        </w:rPr>
      </w:pPr>
      <w:r>
        <w:rPr>
          <w:sz w:val="18"/>
          <w:szCs w:val="18"/>
        </w:rPr>
        <w:t>Chart 80a: Correlation vs. Sharpe ratio EY-R10YTY: -0.5%, using SPY - 1-month look-ahead period</w:t>
      </w:r>
    </w:p>
    <w:p w14:paraId="733BC614" w14:textId="77777777" w:rsidR="00D75F07" w:rsidRDefault="00404909">
      <w:pPr>
        <w:jc w:val="center"/>
        <w:rPr>
          <w:sz w:val="18"/>
          <w:szCs w:val="18"/>
        </w:rPr>
      </w:pPr>
      <w:r>
        <w:rPr>
          <w:noProof/>
          <w:sz w:val="18"/>
          <w:szCs w:val="18"/>
        </w:rPr>
        <w:drawing>
          <wp:inline distT="114300" distB="114300" distL="114300" distR="114300" wp14:anchorId="77EC649A" wp14:editId="42DC6FB7">
            <wp:extent cx="7052400" cy="4203700"/>
            <wp:effectExtent l="0" t="0" r="0" b="0"/>
            <wp:docPr id="13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40"/>
                    <a:srcRect/>
                    <a:stretch>
                      <a:fillRect/>
                    </a:stretch>
                  </pic:blipFill>
                  <pic:spPr>
                    <a:xfrm>
                      <a:off x="0" y="0"/>
                      <a:ext cx="7052400" cy="4203700"/>
                    </a:xfrm>
                    <a:prstGeom prst="rect">
                      <a:avLst/>
                    </a:prstGeom>
                    <a:ln/>
                  </pic:spPr>
                </pic:pic>
              </a:graphicData>
            </a:graphic>
          </wp:inline>
        </w:drawing>
      </w:r>
    </w:p>
    <w:p w14:paraId="572AEE11" w14:textId="77777777" w:rsidR="00D75F07" w:rsidRDefault="00404909">
      <w:pPr>
        <w:jc w:val="center"/>
        <w:rPr>
          <w:sz w:val="18"/>
          <w:szCs w:val="18"/>
        </w:rPr>
      </w:pPr>
      <w:r>
        <w:rPr>
          <w:sz w:val="18"/>
          <w:szCs w:val="18"/>
        </w:rPr>
        <w:t>Chart 80b: Correlation vs. Sharpe ratio EY-R10YTY: -0.5%, using QQQ - 1-month look-ahead period</w:t>
      </w:r>
    </w:p>
    <w:p w14:paraId="24FBE54F" w14:textId="77777777" w:rsidR="00D75F07" w:rsidRDefault="00404909">
      <w:pPr>
        <w:jc w:val="center"/>
        <w:rPr>
          <w:sz w:val="18"/>
          <w:szCs w:val="18"/>
        </w:rPr>
      </w:pPr>
      <w:r>
        <w:rPr>
          <w:noProof/>
          <w:sz w:val="18"/>
          <w:szCs w:val="18"/>
        </w:rPr>
        <w:lastRenderedPageBreak/>
        <w:drawing>
          <wp:inline distT="114300" distB="114300" distL="114300" distR="114300" wp14:anchorId="1DB69E6B" wp14:editId="01E827AC">
            <wp:extent cx="7052400" cy="4203700"/>
            <wp:effectExtent l="0" t="0" r="0" b="0"/>
            <wp:docPr id="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rcRect/>
                    <a:stretch>
                      <a:fillRect/>
                    </a:stretch>
                  </pic:blipFill>
                  <pic:spPr>
                    <a:xfrm>
                      <a:off x="0" y="0"/>
                      <a:ext cx="7052400" cy="4203700"/>
                    </a:xfrm>
                    <a:prstGeom prst="rect">
                      <a:avLst/>
                    </a:prstGeom>
                    <a:ln/>
                  </pic:spPr>
                </pic:pic>
              </a:graphicData>
            </a:graphic>
          </wp:inline>
        </w:drawing>
      </w:r>
    </w:p>
    <w:p w14:paraId="6E98C716" w14:textId="77777777" w:rsidR="00D75F07" w:rsidRDefault="00404909">
      <w:pPr>
        <w:jc w:val="center"/>
        <w:rPr>
          <w:sz w:val="18"/>
          <w:szCs w:val="18"/>
        </w:rPr>
      </w:pPr>
      <w:r>
        <w:rPr>
          <w:sz w:val="18"/>
          <w:szCs w:val="18"/>
        </w:rPr>
        <w:t>Table 75: Correlation, beta, Sharpe ratio and recommended weights of hedges - EY-R10YTY: -0.5% - 1-month look-ahead period</w:t>
      </w:r>
    </w:p>
    <w:p w14:paraId="761A8A74" w14:textId="77777777" w:rsidR="00D75F07" w:rsidRDefault="00404909">
      <w:pPr>
        <w:jc w:val="center"/>
        <w:rPr>
          <w:sz w:val="18"/>
          <w:szCs w:val="18"/>
        </w:rPr>
      </w:pPr>
      <w:r>
        <w:rPr>
          <w:noProof/>
          <w:sz w:val="18"/>
          <w:szCs w:val="18"/>
        </w:rPr>
        <w:drawing>
          <wp:inline distT="114300" distB="114300" distL="114300" distR="114300" wp14:anchorId="424698D2" wp14:editId="296197FE">
            <wp:extent cx="7052400" cy="3619500"/>
            <wp:effectExtent l="0" t="0" r="0" b="0"/>
            <wp:docPr id="8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2"/>
                    <a:srcRect/>
                    <a:stretch>
                      <a:fillRect/>
                    </a:stretch>
                  </pic:blipFill>
                  <pic:spPr>
                    <a:xfrm>
                      <a:off x="0" y="0"/>
                      <a:ext cx="7052400" cy="3619500"/>
                    </a:xfrm>
                    <a:prstGeom prst="rect">
                      <a:avLst/>
                    </a:prstGeom>
                    <a:ln/>
                  </pic:spPr>
                </pic:pic>
              </a:graphicData>
            </a:graphic>
          </wp:inline>
        </w:drawing>
      </w:r>
    </w:p>
    <w:p w14:paraId="733E80E5" w14:textId="77777777" w:rsidR="00D75F07" w:rsidRDefault="00404909">
      <w:pPr>
        <w:jc w:val="center"/>
        <w:rPr>
          <w:sz w:val="18"/>
          <w:szCs w:val="18"/>
        </w:rPr>
      </w:pPr>
      <w:r>
        <w:rPr>
          <w:sz w:val="18"/>
          <w:szCs w:val="18"/>
        </w:rPr>
        <w:t>Chart 81: PV - EY-R10YTY: -0.5% - 1-month look-ahead period</w:t>
      </w:r>
    </w:p>
    <w:p w14:paraId="3FE3BBAA" w14:textId="77777777" w:rsidR="00D75F07" w:rsidRDefault="00404909">
      <w:pPr>
        <w:jc w:val="center"/>
        <w:rPr>
          <w:sz w:val="18"/>
          <w:szCs w:val="18"/>
        </w:rPr>
      </w:pPr>
      <w:r>
        <w:rPr>
          <w:noProof/>
          <w:sz w:val="18"/>
          <w:szCs w:val="18"/>
        </w:rPr>
        <w:lastRenderedPageBreak/>
        <w:drawing>
          <wp:inline distT="114300" distB="114300" distL="114300" distR="114300" wp14:anchorId="2010C4BD" wp14:editId="3E585BDB">
            <wp:extent cx="7052400" cy="4216400"/>
            <wp:effectExtent l="0" t="0" r="0" b="0"/>
            <wp:docPr id="206"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43"/>
                    <a:srcRect/>
                    <a:stretch>
                      <a:fillRect/>
                    </a:stretch>
                  </pic:blipFill>
                  <pic:spPr>
                    <a:xfrm>
                      <a:off x="0" y="0"/>
                      <a:ext cx="7052400" cy="4216400"/>
                    </a:xfrm>
                    <a:prstGeom prst="rect">
                      <a:avLst/>
                    </a:prstGeom>
                    <a:ln/>
                  </pic:spPr>
                </pic:pic>
              </a:graphicData>
            </a:graphic>
          </wp:inline>
        </w:drawing>
      </w:r>
    </w:p>
    <w:p w14:paraId="1EA346F2" w14:textId="77777777" w:rsidR="00D75F07" w:rsidRDefault="00404909">
      <w:pPr>
        <w:jc w:val="center"/>
        <w:rPr>
          <w:sz w:val="18"/>
          <w:szCs w:val="18"/>
        </w:rPr>
      </w:pPr>
      <w:r>
        <w:br w:type="page"/>
      </w:r>
    </w:p>
    <w:p w14:paraId="78E571C0" w14:textId="77777777" w:rsidR="00D75F07" w:rsidRDefault="00404909">
      <w:pPr>
        <w:jc w:val="center"/>
        <w:rPr>
          <w:sz w:val="18"/>
          <w:szCs w:val="18"/>
        </w:rPr>
      </w:pPr>
      <w:r>
        <w:rPr>
          <w:sz w:val="18"/>
          <w:szCs w:val="18"/>
        </w:rPr>
        <w:lastRenderedPageBreak/>
        <w:t>Table 76: Performance indicators with and without hedges - EY-R10YTY: -0.5% - 1-month look-ahead period</w:t>
      </w:r>
    </w:p>
    <w:p w14:paraId="1549C9AA" w14:textId="77777777" w:rsidR="00D75F07" w:rsidRDefault="00404909">
      <w:pPr>
        <w:jc w:val="center"/>
        <w:rPr>
          <w:sz w:val="18"/>
          <w:szCs w:val="18"/>
        </w:rPr>
      </w:pPr>
      <w:r>
        <w:rPr>
          <w:noProof/>
          <w:sz w:val="18"/>
          <w:szCs w:val="18"/>
        </w:rPr>
        <w:drawing>
          <wp:inline distT="114300" distB="114300" distL="114300" distR="114300" wp14:anchorId="5EC8A830" wp14:editId="52E92C27">
            <wp:extent cx="5600700" cy="1485900"/>
            <wp:effectExtent l="0" t="0" r="0" b="0"/>
            <wp:docPr id="7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4"/>
                    <a:srcRect/>
                    <a:stretch>
                      <a:fillRect/>
                    </a:stretch>
                  </pic:blipFill>
                  <pic:spPr>
                    <a:xfrm>
                      <a:off x="0" y="0"/>
                      <a:ext cx="5600700" cy="1485900"/>
                    </a:xfrm>
                    <a:prstGeom prst="rect">
                      <a:avLst/>
                    </a:prstGeom>
                    <a:ln/>
                  </pic:spPr>
                </pic:pic>
              </a:graphicData>
            </a:graphic>
          </wp:inline>
        </w:drawing>
      </w:r>
    </w:p>
    <w:p w14:paraId="4ACA3C6C" w14:textId="77777777" w:rsidR="00D75F07" w:rsidRDefault="00D75F07">
      <w:pPr>
        <w:jc w:val="center"/>
        <w:rPr>
          <w:sz w:val="18"/>
          <w:szCs w:val="18"/>
        </w:rPr>
      </w:pPr>
    </w:p>
    <w:p w14:paraId="4B7CE7E1" w14:textId="77777777" w:rsidR="00D75F07" w:rsidRDefault="00D75F07">
      <w:pPr>
        <w:jc w:val="center"/>
        <w:rPr>
          <w:sz w:val="18"/>
          <w:szCs w:val="18"/>
        </w:rPr>
      </w:pPr>
    </w:p>
    <w:p w14:paraId="11D88B1E" w14:textId="77777777" w:rsidR="00D75F07" w:rsidRDefault="00D75F07">
      <w:pPr>
        <w:jc w:val="center"/>
        <w:rPr>
          <w:sz w:val="18"/>
          <w:szCs w:val="18"/>
        </w:rPr>
      </w:pPr>
    </w:p>
    <w:p w14:paraId="3B5DB259" w14:textId="77777777" w:rsidR="00D75F07" w:rsidRDefault="00D75F07">
      <w:pPr>
        <w:jc w:val="center"/>
        <w:rPr>
          <w:sz w:val="18"/>
          <w:szCs w:val="18"/>
        </w:rPr>
      </w:pPr>
    </w:p>
    <w:p w14:paraId="148FDFDE" w14:textId="77777777" w:rsidR="00D75F07" w:rsidRDefault="00404909">
      <w:pPr>
        <w:jc w:val="both"/>
        <w:rPr>
          <w:sz w:val="18"/>
          <w:szCs w:val="18"/>
        </w:rPr>
      </w:pPr>
      <w:r>
        <w:rPr>
          <w:b/>
          <w:color w:val="38761D"/>
          <w:sz w:val="24"/>
          <w:szCs w:val="24"/>
        </w:rPr>
        <w:t>EY-R10YTY: +3.8%, 1-month look-ahead period</w:t>
      </w:r>
    </w:p>
    <w:p w14:paraId="6E8C11D3" w14:textId="77777777" w:rsidR="00D75F07" w:rsidRDefault="00D75F07">
      <w:pPr>
        <w:jc w:val="center"/>
        <w:rPr>
          <w:sz w:val="18"/>
          <w:szCs w:val="18"/>
        </w:rPr>
      </w:pPr>
    </w:p>
    <w:p w14:paraId="0E94C51D" w14:textId="77777777" w:rsidR="00D75F07" w:rsidRDefault="00404909">
      <w:pPr>
        <w:jc w:val="center"/>
        <w:rPr>
          <w:sz w:val="18"/>
          <w:szCs w:val="18"/>
        </w:rPr>
      </w:pPr>
      <w:r>
        <w:rPr>
          <w:sz w:val="18"/>
          <w:szCs w:val="18"/>
        </w:rPr>
        <w:t>Chart 82a: Correlation vs. Sharpe ratio EY-R10YTY: +3.8%, using SPY - 1-month look-ahead period</w:t>
      </w:r>
    </w:p>
    <w:p w14:paraId="7C5AADF1" w14:textId="77777777" w:rsidR="00D75F07" w:rsidRDefault="00404909">
      <w:pPr>
        <w:jc w:val="center"/>
        <w:rPr>
          <w:sz w:val="18"/>
          <w:szCs w:val="18"/>
        </w:rPr>
      </w:pPr>
      <w:r>
        <w:rPr>
          <w:noProof/>
          <w:sz w:val="18"/>
          <w:szCs w:val="18"/>
        </w:rPr>
        <w:drawing>
          <wp:inline distT="114300" distB="114300" distL="114300" distR="114300" wp14:anchorId="564FB187" wp14:editId="4A5A6E52">
            <wp:extent cx="7052400" cy="4203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7052400" cy="4203700"/>
                    </a:xfrm>
                    <a:prstGeom prst="rect">
                      <a:avLst/>
                    </a:prstGeom>
                    <a:ln/>
                  </pic:spPr>
                </pic:pic>
              </a:graphicData>
            </a:graphic>
          </wp:inline>
        </w:drawing>
      </w:r>
    </w:p>
    <w:p w14:paraId="3DCFF089" w14:textId="77777777" w:rsidR="00D75F07" w:rsidRDefault="00404909">
      <w:pPr>
        <w:jc w:val="center"/>
        <w:rPr>
          <w:sz w:val="18"/>
          <w:szCs w:val="18"/>
        </w:rPr>
      </w:pPr>
      <w:r>
        <w:br w:type="page"/>
      </w:r>
    </w:p>
    <w:p w14:paraId="6D4B8684" w14:textId="77777777" w:rsidR="00D75F07" w:rsidRDefault="00404909">
      <w:pPr>
        <w:jc w:val="center"/>
        <w:rPr>
          <w:sz w:val="18"/>
          <w:szCs w:val="18"/>
        </w:rPr>
      </w:pPr>
      <w:r>
        <w:rPr>
          <w:sz w:val="18"/>
          <w:szCs w:val="18"/>
        </w:rPr>
        <w:lastRenderedPageBreak/>
        <w:t>Chart 82b: Correlation vs. Sharpe ratio EY-R10YTY: +3.8%, using QQQ - 1-month look-ahead period</w:t>
      </w:r>
    </w:p>
    <w:p w14:paraId="0574727D" w14:textId="77777777" w:rsidR="00D75F07" w:rsidRDefault="00404909">
      <w:pPr>
        <w:jc w:val="center"/>
        <w:rPr>
          <w:sz w:val="18"/>
          <w:szCs w:val="18"/>
        </w:rPr>
      </w:pPr>
      <w:r>
        <w:rPr>
          <w:noProof/>
          <w:sz w:val="18"/>
          <w:szCs w:val="18"/>
        </w:rPr>
        <w:drawing>
          <wp:inline distT="114300" distB="114300" distL="114300" distR="114300" wp14:anchorId="0A47174F" wp14:editId="6455EB2B">
            <wp:extent cx="7052400" cy="4203700"/>
            <wp:effectExtent l="0" t="0" r="0" b="0"/>
            <wp:docPr id="154"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46"/>
                    <a:srcRect/>
                    <a:stretch>
                      <a:fillRect/>
                    </a:stretch>
                  </pic:blipFill>
                  <pic:spPr>
                    <a:xfrm>
                      <a:off x="0" y="0"/>
                      <a:ext cx="7052400" cy="4203700"/>
                    </a:xfrm>
                    <a:prstGeom prst="rect">
                      <a:avLst/>
                    </a:prstGeom>
                    <a:ln/>
                  </pic:spPr>
                </pic:pic>
              </a:graphicData>
            </a:graphic>
          </wp:inline>
        </w:drawing>
      </w:r>
    </w:p>
    <w:p w14:paraId="5F58D4B0" w14:textId="77777777" w:rsidR="00D75F07" w:rsidRDefault="00D75F07">
      <w:pPr>
        <w:jc w:val="center"/>
        <w:rPr>
          <w:sz w:val="18"/>
          <w:szCs w:val="18"/>
        </w:rPr>
      </w:pPr>
    </w:p>
    <w:p w14:paraId="6DE45560" w14:textId="77777777" w:rsidR="00D75F07" w:rsidRDefault="00D75F07">
      <w:pPr>
        <w:jc w:val="center"/>
        <w:rPr>
          <w:sz w:val="18"/>
          <w:szCs w:val="18"/>
        </w:rPr>
      </w:pPr>
    </w:p>
    <w:p w14:paraId="6BAC443A" w14:textId="77777777" w:rsidR="00D75F07" w:rsidRDefault="00404909">
      <w:pPr>
        <w:jc w:val="center"/>
        <w:rPr>
          <w:sz w:val="18"/>
          <w:szCs w:val="18"/>
        </w:rPr>
      </w:pPr>
      <w:r>
        <w:rPr>
          <w:sz w:val="18"/>
          <w:szCs w:val="18"/>
        </w:rPr>
        <w:t>Table 77: Correlation, beta, Sharpe ratio and recommended weights of hedges - EY-R10YTY: +3.8% - 1-month look-ahead period</w:t>
      </w:r>
    </w:p>
    <w:p w14:paraId="4AC244C1" w14:textId="77777777" w:rsidR="00D75F07" w:rsidRDefault="00404909">
      <w:pPr>
        <w:jc w:val="center"/>
        <w:rPr>
          <w:sz w:val="18"/>
          <w:szCs w:val="18"/>
        </w:rPr>
      </w:pPr>
      <w:r>
        <w:rPr>
          <w:noProof/>
          <w:sz w:val="18"/>
          <w:szCs w:val="18"/>
        </w:rPr>
        <w:drawing>
          <wp:inline distT="114300" distB="114300" distL="114300" distR="114300" wp14:anchorId="4F2BB6AC" wp14:editId="5B0BCD75">
            <wp:extent cx="7052400" cy="36068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7"/>
                    <a:srcRect/>
                    <a:stretch>
                      <a:fillRect/>
                    </a:stretch>
                  </pic:blipFill>
                  <pic:spPr>
                    <a:xfrm>
                      <a:off x="0" y="0"/>
                      <a:ext cx="7052400" cy="3606800"/>
                    </a:xfrm>
                    <a:prstGeom prst="rect">
                      <a:avLst/>
                    </a:prstGeom>
                    <a:ln/>
                  </pic:spPr>
                </pic:pic>
              </a:graphicData>
            </a:graphic>
          </wp:inline>
        </w:drawing>
      </w:r>
    </w:p>
    <w:p w14:paraId="19D4784E" w14:textId="77777777" w:rsidR="00D75F07" w:rsidRDefault="00404909">
      <w:pPr>
        <w:jc w:val="center"/>
        <w:rPr>
          <w:sz w:val="18"/>
          <w:szCs w:val="18"/>
        </w:rPr>
      </w:pPr>
      <w:r>
        <w:br w:type="page"/>
      </w:r>
    </w:p>
    <w:p w14:paraId="07181A29" w14:textId="77777777" w:rsidR="00D75F07" w:rsidRDefault="00404909">
      <w:pPr>
        <w:jc w:val="center"/>
        <w:rPr>
          <w:sz w:val="18"/>
          <w:szCs w:val="18"/>
        </w:rPr>
      </w:pPr>
      <w:r>
        <w:rPr>
          <w:sz w:val="18"/>
          <w:szCs w:val="18"/>
        </w:rPr>
        <w:lastRenderedPageBreak/>
        <w:t>Chart 83: PV - EY-R10YTY: +3.8% - 1-month look-ahead period</w:t>
      </w:r>
    </w:p>
    <w:p w14:paraId="42B057DC" w14:textId="77777777" w:rsidR="00D75F07" w:rsidRDefault="00404909">
      <w:pPr>
        <w:jc w:val="center"/>
        <w:rPr>
          <w:sz w:val="18"/>
          <w:szCs w:val="18"/>
        </w:rPr>
      </w:pPr>
      <w:r>
        <w:rPr>
          <w:noProof/>
          <w:sz w:val="18"/>
          <w:szCs w:val="18"/>
        </w:rPr>
        <w:drawing>
          <wp:inline distT="114300" distB="114300" distL="114300" distR="114300" wp14:anchorId="6ED5EDB3" wp14:editId="200CD0F5">
            <wp:extent cx="7052400" cy="4216400"/>
            <wp:effectExtent l="0" t="0" r="0"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7052400" cy="4216400"/>
                    </a:xfrm>
                    <a:prstGeom prst="rect">
                      <a:avLst/>
                    </a:prstGeom>
                    <a:ln/>
                  </pic:spPr>
                </pic:pic>
              </a:graphicData>
            </a:graphic>
          </wp:inline>
        </w:drawing>
      </w:r>
    </w:p>
    <w:p w14:paraId="022758E9" w14:textId="77777777" w:rsidR="00D75F07" w:rsidRDefault="00D75F07">
      <w:pPr>
        <w:jc w:val="center"/>
        <w:rPr>
          <w:sz w:val="18"/>
          <w:szCs w:val="18"/>
        </w:rPr>
      </w:pPr>
    </w:p>
    <w:p w14:paraId="3A8A88C9" w14:textId="77777777" w:rsidR="00D75F07" w:rsidRDefault="00404909">
      <w:pPr>
        <w:jc w:val="center"/>
        <w:rPr>
          <w:sz w:val="18"/>
          <w:szCs w:val="18"/>
        </w:rPr>
      </w:pPr>
      <w:r>
        <w:rPr>
          <w:sz w:val="18"/>
          <w:szCs w:val="18"/>
        </w:rPr>
        <w:t>Table 78: Performance indicators with and without hedges - EY-R10YTY: +3.8% - 1-month look-ahead period</w:t>
      </w:r>
    </w:p>
    <w:p w14:paraId="6FAE4BF4" w14:textId="77777777" w:rsidR="00D75F07" w:rsidRDefault="00404909">
      <w:pPr>
        <w:jc w:val="center"/>
        <w:rPr>
          <w:sz w:val="18"/>
          <w:szCs w:val="18"/>
        </w:rPr>
      </w:pPr>
      <w:r>
        <w:rPr>
          <w:noProof/>
          <w:sz w:val="18"/>
          <w:szCs w:val="18"/>
        </w:rPr>
        <w:drawing>
          <wp:inline distT="114300" distB="114300" distL="114300" distR="114300" wp14:anchorId="26B91442" wp14:editId="254AE5DF">
            <wp:extent cx="5600700" cy="1495425"/>
            <wp:effectExtent l="0" t="0" r="0" b="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5600700" cy="1495425"/>
                    </a:xfrm>
                    <a:prstGeom prst="rect">
                      <a:avLst/>
                    </a:prstGeom>
                    <a:ln/>
                  </pic:spPr>
                </pic:pic>
              </a:graphicData>
            </a:graphic>
          </wp:inline>
        </w:drawing>
      </w:r>
    </w:p>
    <w:p w14:paraId="0CA4C4AF" w14:textId="77777777" w:rsidR="00D75F07" w:rsidRDefault="00404909">
      <w:pPr>
        <w:jc w:val="center"/>
        <w:rPr>
          <w:sz w:val="18"/>
          <w:szCs w:val="18"/>
        </w:rPr>
      </w:pPr>
      <w:r>
        <w:br w:type="page"/>
      </w:r>
    </w:p>
    <w:p w14:paraId="281A1690" w14:textId="77777777" w:rsidR="00D75F07" w:rsidRDefault="00404909">
      <w:pPr>
        <w:jc w:val="both"/>
        <w:rPr>
          <w:sz w:val="18"/>
          <w:szCs w:val="18"/>
        </w:rPr>
      </w:pPr>
      <w:r>
        <w:rPr>
          <w:b/>
          <w:color w:val="38761D"/>
          <w:sz w:val="24"/>
          <w:szCs w:val="24"/>
        </w:rPr>
        <w:lastRenderedPageBreak/>
        <w:t>EY-R10YTY: +6.5%, 1-month look-ahead period</w:t>
      </w:r>
    </w:p>
    <w:p w14:paraId="0BE05381" w14:textId="77777777" w:rsidR="00D75F07" w:rsidRDefault="00404909">
      <w:pPr>
        <w:jc w:val="center"/>
        <w:rPr>
          <w:sz w:val="18"/>
          <w:szCs w:val="18"/>
        </w:rPr>
      </w:pPr>
      <w:r>
        <w:rPr>
          <w:sz w:val="18"/>
          <w:szCs w:val="18"/>
        </w:rPr>
        <w:t>Chart 84a: Correlation vs. Sharpe ratio EY-R10YTY: +6.5%, using SPY - 1-month look-ahead period</w:t>
      </w:r>
    </w:p>
    <w:p w14:paraId="37F03064" w14:textId="77777777" w:rsidR="00D75F07" w:rsidRDefault="00404909">
      <w:pPr>
        <w:jc w:val="center"/>
        <w:rPr>
          <w:sz w:val="18"/>
          <w:szCs w:val="18"/>
        </w:rPr>
      </w:pPr>
      <w:r>
        <w:rPr>
          <w:noProof/>
          <w:sz w:val="18"/>
          <w:szCs w:val="18"/>
        </w:rPr>
        <w:drawing>
          <wp:inline distT="114300" distB="114300" distL="114300" distR="114300" wp14:anchorId="456150D6" wp14:editId="4166FDC1">
            <wp:extent cx="7052400" cy="4203700"/>
            <wp:effectExtent l="0" t="0" r="0" b="0"/>
            <wp:docPr id="197"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50"/>
                    <a:srcRect/>
                    <a:stretch>
                      <a:fillRect/>
                    </a:stretch>
                  </pic:blipFill>
                  <pic:spPr>
                    <a:xfrm>
                      <a:off x="0" y="0"/>
                      <a:ext cx="7052400" cy="4203700"/>
                    </a:xfrm>
                    <a:prstGeom prst="rect">
                      <a:avLst/>
                    </a:prstGeom>
                    <a:ln/>
                  </pic:spPr>
                </pic:pic>
              </a:graphicData>
            </a:graphic>
          </wp:inline>
        </w:drawing>
      </w:r>
    </w:p>
    <w:p w14:paraId="147D2C78" w14:textId="77777777" w:rsidR="00D75F07" w:rsidRDefault="00404909">
      <w:pPr>
        <w:jc w:val="center"/>
        <w:rPr>
          <w:sz w:val="18"/>
          <w:szCs w:val="18"/>
        </w:rPr>
      </w:pPr>
      <w:r>
        <w:rPr>
          <w:sz w:val="18"/>
          <w:szCs w:val="18"/>
        </w:rPr>
        <w:t>Chart 84b: Correlation vs. Sharpe ratio EY-R10YTY: +6.5%, using QQQ - 1-month look-ahead period</w:t>
      </w:r>
    </w:p>
    <w:p w14:paraId="211FBDA7" w14:textId="77777777" w:rsidR="00D75F07" w:rsidRDefault="00404909">
      <w:pPr>
        <w:jc w:val="center"/>
        <w:rPr>
          <w:sz w:val="18"/>
          <w:szCs w:val="18"/>
        </w:rPr>
      </w:pPr>
      <w:r>
        <w:rPr>
          <w:noProof/>
          <w:sz w:val="18"/>
          <w:szCs w:val="18"/>
        </w:rPr>
        <w:drawing>
          <wp:inline distT="114300" distB="114300" distL="114300" distR="114300" wp14:anchorId="2721B10D" wp14:editId="529214B1">
            <wp:extent cx="7052400" cy="4203700"/>
            <wp:effectExtent l="0" t="0" r="0" b="0"/>
            <wp:docPr id="14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1"/>
                    <a:srcRect/>
                    <a:stretch>
                      <a:fillRect/>
                    </a:stretch>
                  </pic:blipFill>
                  <pic:spPr>
                    <a:xfrm>
                      <a:off x="0" y="0"/>
                      <a:ext cx="7052400" cy="4203700"/>
                    </a:xfrm>
                    <a:prstGeom prst="rect">
                      <a:avLst/>
                    </a:prstGeom>
                    <a:ln/>
                  </pic:spPr>
                </pic:pic>
              </a:graphicData>
            </a:graphic>
          </wp:inline>
        </w:drawing>
      </w:r>
    </w:p>
    <w:p w14:paraId="59BB8323" w14:textId="77777777" w:rsidR="00D75F07" w:rsidRDefault="00404909">
      <w:pPr>
        <w:jc w:val="center"/>
        <w:rPr>
          <w:sz w:val="18"/>
          <w:szCs w:val="18"/>
        </w:rPr>
      </w:pPr>
      <w:r>
        <w:lastRenderedPageBreak/>
        <w:br w:type="page"/>
      </w:r>
    </w:p>
    <w:p w14:paraId="09A2BCE5" w14:textId="77777777" w:rsidR="00D75F07" w:rsidRDefault="00404909">
      <w:pPr>
        <w:jc w:val="center"/>
        <w:rPr>
          <w:sz w:val="18"/>
          <w:szCs w:val="18"/>
        </w:rPr>
      </w:pPr>
      <w:r>
        <w:rPr>
          <w:sz w:val="18"/>
          <w:szCs w:val="18"/>
        </w:rPr>
        <w:lastRenderedPageBreak/>
        <w:t>Table 79: Correlation, beta, Sharpe ratio and recommended weights of hedges - EY-R10YTY: +6.5% - 1-month look-ahead period</w:t>
      </w:r>
    </w:p>
    <w:p w14:paraId="4335553D" w14:textId="77777777" w:rsidR="00D75F07" w:rsidRDefault="00404909">
      <w:pPr>
        <w:jc w:val="center"/>
        <w:rPr>
          <w:sz w:val="18"/>
          <w:szCs w:val="18"/>
        </w:rPr>
      </w:pPr>
      <w:r>
        <w:rPr>
          <w:noProof/>
          <w:sz w:val="18"/>
          <w:szCs w:val="18"/>
        </w:rPr>
        <w:drawing>
          <wp:inline distT="114300" distB="114300" distL="114300" distR="114300" wp14:anchorId="4930A364" wp14:editId="69F90C0A">
            <wp:extent cx="7052400" cy="3619500"/>
            <wp:effectExtent l="0" t="0" r="0" b="0"/>
            <wp:docPr id="17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52"/>
                    <a:srcRect/>
                    <a:stretch>
                      <a:fillRect/>
                    </a:stretch>
                  </pic:blipFill>
                  <pic:spPr>
                    <a:xfrm>
                      <a:off x="0" y="0"/>
                      <a:ext cx="7052400" cy="3619500"/>
                    </a:xfrm>
                    <a:prstGeom prst="rect">
                      <a:avLst/>
                    </a:prstGeom>
                    <a:ln/>
                  </pic:spPr>
                </pic:pic>
              </a:graphicData>
            </a:graphic>
          </wp:inline>
        </w:drawing>
      </w:r>
    </w:p>
    <w:p w14:paraId="7013D9E7" w14:textId="77777777" w:rsidR="00D75F07" w:rsidRDefault="00404909">
      <w:pPr>
        <w:jc w:val="center"/>
        <w:rPr>
          <w:sz w:val="18"/>
          <w:szCs w:val="18"/>
        </w:rPr>
      </w:pPr>
      <w:r>
        <w:rPr>
          <w:sz w:val="18"/>
          <w:szCs w:val="18"/>
        </w:rPr>
        <w:t>Chart 85: PV - EY-R10YTY: +6.5% - 1-month look-ahead period</w:t>
      </w:r>
    </w:p>
    <w:p w14:paraId="449B5D77" w14:textId="77777777" w:rsidR="00D75F07" w:rsidRDefault="00404909">
      <w:pPr>
        <w:jc w:val="center"/>
        <w:rPr>
          <w:sz w:val="18"/>
          <w:szCs w:val="18"/>
        </w:rPr>
      </w:pPr>
      <w:r>
        <w:rPr>
          <w:noProof/>
          <w:sz w:val="18"/>
          <w:szCs w:val="18"/>
        </w:rPr>
        <w:drawing>
          <wp:inline distT="114300" distB="114300" distL="114300" distR="114300" wp14:anchorId="124FDE3C" wp14:editId="1D0D6E47">
            <wp:extent cx="7052400" cy="4216400"/>
            <wp:effectExtent l="0" t="0" r="0" b="0"/>
            <wp:docPr id="231"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53"/>
                    <a:srcRect/>
                    <a:stretch>
                      <a:fillRect/>
                    </a:stretch>
                  </pic:blipFill>
                  <pic:spPr>
                    <a:xfrm>
                      <a:off x="0" y="0"/>
                      <a:ext cx="7052400" cy="4216400"/>
                    </a:xfrm>
                    <a:prstGeom prst="rect">
                      <a:avLst/>
                    </a:prstGeom>
                    <a:ln/>
                  </pic:spPr>
                </pic:pic>
              </a:graphicData>
            </a:graphic>
          </wp:inline>
        </w:drawing>
      </w:r>
    </w:p>
    <w:p w14:paraId="175D8376" w14:textId="77777777" w:rsidR="00D75F07" w:rsidRDefault="00404909">
      <w:pPr>
        <w:jc w:val="center"/>
        <w:rPr>
          <w:sz w:val="18"/>
          <w:szCs w:val="18"/>
        </w:rPr>
      </w:pPr>
      <w:r>
        <w:br w:type="page"/>
      </w:r>
    </w:p>
    <w:p w14:paraId="7989088D" w14:textId="77777777" w:rsidR="00D75F07" w:rsidRDefault="00404909">
      <w:pPr>
        <w:jc w:val="center"/>
        <w:rPr>
          <w:sz w:val="18"/>
          <w:szCs w:val="18"/>
        </w:rPr>
      </w:pPr>
      <w:r>
        <w:rPr>
          <w:sz w:val="18"/>
          <w:szCs w:val="18"/>
        </w:rPr>
        <w:lastRenderedPageBreak/>
        <w:t>Table 80: Performance indicators with and without hedges - EY-R10YTY: +6.5% - 1-month look-ahead period</w:t>
      </w:r>
    </w:p>
    <w:p w14:paraId="1919FC64" w14:textId="77777777" w:rsidR="00D75F07" w:rsidRDefault="00404909">
      <w:pPr>
        <w:jc w:val="center"/>
        <w:rPr>
          <w:b/>
          <w:color w:val="38761D"/>
        </w:rPr>
      </w:pPr>
      <w:r>
        <w:rPr>
          <w:noProof/>
          <w:sz w:val="18"/>
          <w:szCs w:val="18"/>
        </w:rPr>
        <w:drawing>
          <wp:inline distT="114300" distB="114300" distL="114300" distR="114300" wp14:anchorId="274C6266" wp14:editId="3867BD45">
            <wp:extent cx="5600700" cy="1495425"/>
            <wp:effectExtent l="0" t="0" r="0" b="0"/>
            <wp:docPr id="224"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54"/>
                    <a:srcRect/>
                    <a:stretch>
                      <a:fillRect/>
                    </a:stretch>
                  </pic:blipFill>
                  <pic:spPr>
                    <a:xfrm>
                      <a:off x="0" y="0"/>
                      <a:ext cx="5600700" cy="1495425"/>
                    </a:xfrm>
                    <a:prstGeom prst="rect">
                      <a:avLst/>
                    </a:prstGeom>
                    <a:ln/>
                  </pic:spPr>
                </pic:pic>
              </a:graphicData>
            </a:graphic>
          </wp:inline>
        </w:drawing>
      </w:r>
      <w:r>
        <w:br w:type="page"/>
      </w:r>
    </w:p>
    <w:p w14:paraId="14F442DA" w14:textId="77777777" w:rsidR="00D75F07" w:rsidRDefault="00404909">
      <w:pPr>
        <w:pStyle w:val="Heading1"/>
        <w:pBdr>
          <w:top w:val="nil"/>
          <w:left w:val="nil"/>
          <w:bottom w:val="nil"/>
          <w:right w:val="nil"/>
          <w:between w:val="nil"/>
        </w:pBdr>
        <w:rPr>
          <w:b/>
          <w:color w:val="38761D"/>
        </w:rPr>
      </w:pPr>
      <w:bookmarkStart w:id="3" w:name="_30wq2nw2zx5m" w:colFirst="0" w:colLast="0"/>
      <w:bookmarkEnd w:id="3"/>
      <w:r>
        <w:rPr>
          <w:b/>
          <w:color w:val="38761D"/>
        </w:rPr>
        <w:lastRenderedPageBreak/>
        <w:t>Conclusions</w:t>
      </w:r>
    </w:p>
    <w:p w14:paraId="79B55359" w14:textId="77777777" w:rsidR="00D75F07" w:rsidRDefault="00D75F07"/>
    <w:p w14:paraId="3C4B7957" w14:textId="77777777" w:rsidR="00D75F07" w:rsidRDefault="00404909">
      <w:pPr>
        <w:jc w:val="both"/>
      </w:pPr>
      <w:r>
        <w:t xml:space="preserve">In this study, the </w:t>
      </w:r>
      <w:proofErr w:type="spellStart"/>
      <w:r>
        <w:rPr>
          <w:b/>
        </w:rPr>
        <w:t>SnifferQuant</w:t>
      </w:r>
      <w:proofErr w:type="spellEnd"/>
      <w:r>
        <w:rPr>
          <w:b/>
        </w:rPr>
        <w:t xml:space="preserve"> Hedge-Selection Method</w:t>
      </w:r>
      <w:r>
        <w:t xml:space="preserve"> was presented. This method also takes into account the </w:t>
      </w:r>
      <w:r>
        <w:rPr>
          <w:b/>
        </w:rPr>
        <w:t>quality of the hedges (correlation to the portfolio)</w:t>
      </w:r>
      <w:r>
        <w:t xml:space="preserve"> and </w:t>
      </w:r>
      <w:r>
        <w:rPr>
          <w:b/>
        </w:rPr>
        <w:t>their cost (using Sharpe ratio as a negative proxy of cost</w:t>
      </w:r>
      <w:r>
        <w:t xml:space="preserve">). Our </w:t>
      </w:r>
      <w:proofErr w:type="spellStart"/>
      <w:r>
        <w:rPr>
          <w:b/>
        </w:rPr>
        <w:t>SnifferQuant</w:t>
      </w:r>
      <w:proofErr w:type="spellEnd"/>
      <w:r>
        <w:rPr>
          <w:b/>
        </w:rPr>
        <w:t xml:space="preserve"> Market Strength Indicator (SQ MSI),</w:t>
      </w:r>
      <w:r>
        <w:t xml:space="preserve"> </w:t>
      </w:r>
      <w:r>
        <w:rPr>
          <w:b/>
        </w:rPr>
        <w:t>CPI-SQ3M Inflation Indicator, the GDP and the Excess Earnings Yield (S&amp;P500 Earnings Yield vs. Real 10-Year Treasury Yield)</w:t>
      </w:r>
      <w:r>
        <w:t xml:space="preserve"> have been used as the proxy of the current market environment.</w:t>
      </w:r>
    </w:p>
    <w:p w14:paraId="367AC9C2" w14:textId="77777777" w:rsidR="00D75F07" w:rsidRDefault="00D75F07">
      <w:pPr>
        <w:jc w:val="both"/>
      </w:pPr>
    </w:p>
    <w:p w14:paraId="1F9AF870" w14:textId="77777777" w:rsidR="00D75F07" w:rsidRDefault="00404909">
      <w:pPr>
        <w:jc w:val="both"/>
      </w:pPr>
      <w:r>
        <w:t xml:space="preserve">We are </w:t>
      </w:r>
      <w:r>
        <w:rPr>
          <w:b/>
        </w:rPr>
        <w:t>happy with the results</w:t>
      </w:r>
      <w:r>
        <w:t xml:space="preserve">, and </w:t>
      </w:r>
      <w:r>
        <w:rPr>
          <w:b/>
        </w:rPr>
        <w:t>recommend using our online tool for hedge selection and weighting</w:t>
      </w:r>
      <w:r>
        <w:t xml:space="preserve"> in all market situations.</w:t>
      </w:r>
      <w:r>
        <w:br w:type="page"/>
      </w:r>
    </w:p>
    <w:p w14:paraId="173995D1" w14:textId="77777777" w:rsidR="00D75F07" w:rsidRDefault="00404909">
      <w:pPr>
        <w:pStyle w:val="Heading1"/>
        <w:rPr>
          <w:b/>
          <w:color w:val="38761D"/>
        </w:rPr>
      </w:pPr>
      <w:bookmarkStart w:id="4" w:name="_fz7u3ji62i9y" w:colFirst="0" w:colLast="0"/>
      <w:bookmarkEnd w:id="4"/>
      <w:r>
        <w:rPr>
          <w:b/>
          <w:color w:val="38761D"/>
        </w:rPr>
        <w:lastRenderedPageBreak/>
        <w:t>Appendix</w:t>
      </w:r>
    </w:p>
    <w:p w14:paraId="17351E16" w14:textId="77777777" w:rsidR="00D75F07" w:rsidRDefault="00404909">
      <w:r>
        <w:rPr>
          <w:noProof/>
        </w:rPr>
        <w:drawing>
          <wp:inline distT="114300" distB="114300" distL="114300" distR="114300" wp14:anchorId="7ED4CE37" wp14:editId="44F7FF21">
            <wp:extent cx="7052400" cy="3746500"/>
            <wp:effectExtent l="0" t="0" r="0" b="0"/>
            <wp:docPr id="132"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5"/>
                    <a:srcRect/>
                    <a:stretch>
                      <a:fillRect/>
                    </a:stretch>
                  </pic:blipFill>
                  <pic:spPr>
                    <a:xfrm>
                      <a:off x="0" y="0"/>
                      <a:ext cx="7052400" cy="3746500"/>
                    </a:xfrm>
                    <a:prstGeom prst="rect">
                      <a:avLst/>
                    </a:prstGeom>
                    <a:ln/>
                  </pic:spPr>
                </pic:pic>
              </a:graphicData>
            </a:graphic>
          </wp:inline>
        </w:drawing>
      </w:r>
    </w:p>
    <w:p w14:paraId="6BCFFD71" w14:textId="77777777" w:rsidR="00D75F07" w:rsidRDefault="00404909">
      <w:r>
        <w:rPr>
          <w:noProof/>
        </w:rPr>
        <w:drawing>
          <wp:inline distT="114300" distB="114300" distL="114300" distR="114300" wp14:anchorId="7903653C" wp14:editId="124F9D3F">
            <wp:extent cx="7052400" cy="3746500"/>
            <wp:effectExtent l="0" t="0" r="0" b="0"/>
            <wp:docPr id="209"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56"/>
                    <a:srcRect/>
                    <a:stretch>
                      <a:fillRect/>
                    </a:stretch>
                  </pic:blipFill>
                  <pic:spPr>
                    <a:xfrm>
                      <a:off x="0" y="0"/>
                      <a:ext cx="7052400" cy="3746500"/>
                    </a:xfrm>
                    <a:prstGeom prst="rect">
                      <a:avLst/>
                    </a:prstGeom>
                    <a:ln/>
                  </pic:spPr>
                </pic:pic>
              </a:graphicData>
            </a:graphic>
          </wp:inline>
        </w:drawing>
      </w:r>
    </w:p>
    <w:p w14:paraId="253AD4E2" w14:textId="77777777" w:rsidR="00D75F07" w:rsidRDefault="00404909">
      <w:r>
        <w:rPr>
          <w:noProof/>
        </w:rPr>
        <w:lastRenderedPageBreak/>
        <w:drawing>
          <wp:inline distT="114300" distB="114300" distL="114300" distR="114300" wp14:anchorId="1350237A" wp14:editId="046DAB88">
            <wp:extent cx="7052400" cy="3746500"/>
            <wp:effectExtent l="0" t="0" r="0" b="0"/>
            <wp:docPr id="10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7"/>
                    <a:srcRect/>
                    <a:stretch>
                      <a:fillRect/>
                    </a:stretch>
                  </pic:blipFill>
                  <pic:spPr>
                    <a:xfrm>
                      <a:off x="0" y="0"/>
                      <a:ext cx="7052400" cy="3746500"/>
                    </a:xfrm>
                    <a:prstGeom prst="rect">
                      <a:avLst/>
                    </a:prstGeom>
                    <a:ln/>
                  </pic:spPr>
                </pic:pic>
              </a:graphicData>
            </a:graphic>
          </wp:inline>
        </w:drawing>
      </w:r>
    </w:p>
    <w:p w14:paraId="5D05AD41" w14:textId="77777777" w:rsidR="00D75F07" w:rsidRDefault="00404909">
      <w:r>
        <w:rPr>
          <w:noProof/>
        </w:rPr>
        <w:drawing>
          <wp:inline distT="114300" distB="114300" distL="114300" distR="114300" wp14:anchorId="7E5A3A53" wp14:editId="667C6BA6">
            <wp:extent cx="7052400" cy="37465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7052400" cy="3746500"/>
                    </a:xfrm>
                    <a:prstGeom prst="rect">
                      <a:avLst/>
                    </a:prstGeom>
                    <a:ln/>
                  </pic:spPr>
                </pic:pic>
              </a:graphicData>
            </a:graphic>
          </wp:inline>
        </w:drawing>
      </w:r>
    </w:p>
    <w:p w14:paraId="3DD47792" w14:textId="77777777" w:rsidR="00D75F07" w:rsidRDefault="00404909">
      <w:r>
        <w:rPr>
          <w:noProof/>
        </w:rPr>
        <w:lastRenderedPageBreak/>
        <w:drawing>
          <wp:inline distT="114300" distB="114300" distL="114300" distR="114300" wp14:anchorId="4E3AB5EA" wp14:editId="3D61C074">
            <wp:extent cx="7052400" cy="3746500"/>
            <wp:effectExtent l="0" t="0" r="0" b="0"/>
            <wp:docPr id="10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59"/>
                    <a:srcRect/>
                    <a:stretch>
                      <a:fillRect/>
                    </a:stretch>
                  </pic:blipFill>
                  <pic:spPr>
                    <a:xfrm>
                      <a:off x="0" y="0"/>
                      <a:ext cx="7052400" cy="3746500"/>
                    </a:xfrm>
                    <a:prstGeom prst="rect">
                      <a:avLst/>
                    </a:prstGeom>
                    <a:ln/>
                  </pic:spPr>
                </pic:pic>
              </a:graphicData>
            </a:graphic>
          </wp:inline>
        </w:drawing>
      </w:r>
    </w:p>
    <w:p w14:paraId="1AFBF787" w14:textId="77777777" w:rsidR="00D75F07" w:rsidRDefault="00404909">
      <w:r>
        <w:rPr>
          <w:noProof/>
        </w:rPr>
        <w:drawing>
          <wp:inline distT="114300" distB="114300" distL="114300" distR="114300" wp14:anchorId="6A20F1F0" wp14:editId="0CEE6F30">
            <wp:extent cx="7052400" cy="3746500"/>
            <wp:effectExtent l="0" t="0" r="0" b="0"/>
            <wp:docPr id="9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0"/>
                    <a:srcRect/>
                    <a:stretch>
                      <a:fillRect/>
                    </a:stretch>
                  </pic:blipFill>
                  <pic:spPr>
                    <a:xfrm>
                      <a:off x="0" y="0"/>
                      <a:ext cx="7052400" cy="3746500"/>
                    </a:xfrm>
                    <a:prstGeom prst="rect">
                      <a:avLst/>
                    </a:prstGeom>
                    <a:ln/>
                  </pic:spPr>
                </pic:pic>
              </a:graphicData>
            </a:graphic>
          </wp:inline>
        </w:drawing>
      </w:r>
    </w:p>
    <w:p w14:paraId="4F53C790" w14:textId="77777777" w:rsidR="00D75F07" w:rsidRDefault="00404909">
      <w:r>
        <w:rPr>
          <w:noProof/>
        </w:rPr>
        <w:lastRenderedPageBreak/>
        <w:drawing>
          <wp:inline distT="114300" distB="114300" distL="114300" distR="114300" wp14:anchorId="322C469A" wp14:editId="679D4454">
            <wp:extent cx="7052400" cy="3746500"/>
            <wp:effectExtent l="0" t="0" r="0" b="0"/>
            <wp:docPr id="216"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61"/>
                    <a:srcRect/>
                    <a:stretch>
                      <a:fillRect/>
                    </a:stretch>
                  </pic:blipFill>
                  <pic:spPr>
                    <a:xfrm>
                      <a:off x="0" y="0"/>
                      <a:ext cx="7052400" cy="3746500"/>
                    </a:xfrm>
                    <a:prstGeom prst="rect">
                      <a:avLst/>
                    </a:prstGeom>
                    <a:ln/>
                  </pic:spPr>
                </pic:pic>
              </a:graphicData>
            </a:graphic>
          </wp:inline>
        </w:drawing>
      </w:r>
    </w:p>
    <w:p w14:paraId="5C1BD121" w14:textId="77777777" w:rsidR="00D75F07" w:rsidRDefault="00404909">
      <w:r>
        <w:rPr>
          <w:noProof/>
        </w:rPr>
        <w:drawing>
          <wp:inline distT="114300" distB="114300" distL="114300" distR="114300" wp14:anchorId="1753482C" wp14:editId="71048AE9">
            <wp:extent cx="7052400" cy="3746500"/>
            <wp:effectExtent l="0" t="0" r="0" b="0"/>
            <wp:docPr id="9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62"/>
                    <a:srcRect/>
                    <a:stretch>
                      <a:fillRect/>
                    </a:stretch>
                  </pic:blipFill>
                  <pic:spPr>
                    <a:xfrm>
                      <a:off x="0" y="0"/>
                      <a:ext cx="7052400" cy="3746500"/>
                    </a:xfrm>
                    <a:prstGeom prst="rect">
                      <a:avLst/>
                    </a:prstGeom>
                    <a:ln/>
                  </pic:spPr>
                </pic:pic>
              </a:graphicData>
            </a:graphic>
          </wp:inline>
        </w:drawing>
      </w:r>
    </w:p>
    <w:p w14:paraId="3232B575" w14:textId="77777777" w:rsidR="00D75F07" w:rsidRDefault="00404909">
      <w:r>
        <w:rPr>
          <w:noProof/>
        </w:rPr>
        <w:lastRenderedPageBreak/>
        <w:drawing>
          <wp:inline distT="114300" distB="114300" distL="114300" distR="114300" wp14:anchorId="5651FF0F" wp14:editId="22B2CA60">
            <wp:extent cx="7052400" cy="3746500"/>
            <wp:effectExtent l="0" t="0" r="0" b="0"/>
            <wp:docPr id="19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63"/>
                    <a:srcRect/>
                    <a:stretch>
                      <a:fillRect/>
                    </a:stretch>
                  </pic:blipFill>
                  <pic:spPr>
                    <a:xfrm>
                      <a:off x="0" y="0"/>
                      <a:ext cx="7052400" cy="3746500"/>
                    </a:xfrm>
                    <a:prstGeom prst="rect">
                      <a:avLst/>
                    </a:prstGeom>
                    <a:ln/>
                  </pic:spPr>
                </pic:pic>
              </a:graphicData>
            </a:graphic>
          </wp:inline>
        </w:drawing>
      </w:r>
    </w:p>
    <w:sectPr w:rsidR="00D75F07">
      <w:headerReference w:type="even" r:id="rId64"/>
      <w:headerReference w:type="default" r:id="rId65"/>
      <w:footerReference w:type="even" r:id="rId66"/>
      <w:footerReference w:type="default" r:id="rId67"/>
      <w:headerReference w:type="first" r:id="rId68"/>
      <w:footerReference w:type="first" r:id="rId69"/>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6293A" w14:textId="77777777" w:rsidR="009A10E3" w:rsidRDefault="009A10E3">
      <w:pPr>
        <w:spacing w:line="240" w:lineRule="auto"/>
      </w:pPr>
      <w:r>
        <w:separator/>
      </w:r>
    </w:p>
  </w:endnote>
  <w:endnote w:type="continuationSeparator" w:id="0">
    <w:p w14:paraId="6BDC6867" w14:textId="77777777" w:rsidR="009A10E3" w:rsidRDefault="009A1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1DC0D" w14:textId="77777777" w:rsidR="00051511" w:rsidRDefault="00051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60996" w14:textId="77777777" w:rsidR="00D75F07" w:rsidRDefault="00404909">
    <w:pPr>
      <w:pBdr>
        <w:top w:val="nil"/>
        <w:left w:val="nil"/>
        <w:bottom w:val="nil"/>
        <w:right w:val="nil"/>
        <w:between w:val="nil"/>
      </w:pBdr>
      <w:jc w:val="right"/>
    </w:pPr>
    <w:r>
      <w:fldChar w:fldCharType="begin"/>
    </w:r>
    <w:r>
      <w:instrText>PAGE</w:instrText>
    </w:r>
    <w:r>
      <w:fldChar w:fldCharType="separate"/>
    </w:r>
    <w:r w:rsidR="0005151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F2BF" w14:textId="77777777" w:rsidR="00051511" w:rsidRDefault="00051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F7A42" w14:textId="77777777" w:rsidR="009A10E3" w:rsidRDefault="009A10E3">
      <w:pPr>
        <w:spacing w:line="240" w:lineRule="auto"/>
      </w:pPr>
      <w:r>
        <w:separator/>
      </w:r>
    </w:p>
  </w:footnote>
  <w:footnote w:type="continuationSeparator" w:id="0">
    <w:p w14:paraId="0B9BC411" w14:textId="77777777" w:rsidR="009A10E3" w:rsidRDefault="009A1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F50F" w14:textId="77777777" w:rsidR="00051511" w:rsidRDefault="00051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5E42" w14:textId="7D0B5559" w:rsidR="00D75F07" w:rsidRDefault="00404909">
    <w:pPr>
      <w:pBdr>
        <w:top w:val="nil"/>
        <w:left w:val="nil"/>
        <w:bottom w:val="nil"/>
        <w:right w:val="nil"/>
        <w:between w:val="nil"/>
      </w:pBdr>
    </w:pPr>
    <w:r>
      <w:t>Hedges and Correlations</w:t>
    </w:r>
    <w:r>
      <w:tab/>
    </w:r>
    <w:r>
      <w:tab/>
    </w:r>
    <w:r>
      <w:tab/>
      <w:t xml:space="preserve">by </w:t>
    </w:r>
    <w:r w:rsidR="00051511">
      <w:t>George Antal</w:t>
    </w:r>
    <w:r>
      <w:t xml:space="preserve">, 3DClick Ltd. </w:t>
    </w:r>
    <w:r>
      <w:tab/>
    </w:r>
    <w:r>
      <w:tab/>
    </w:r>
    <w:r>
      <w:tab/>
      <w:t xml:space="preserve">  2021-0</w:t>
    </w:r>
    <w:r w:rsidR="001C72F0">
      <w:t>6</w:t>
    </w:r>
    <w:r w:rsidR="00051511">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6A87" w14:textId="77777777" w:rsidR="00051511" w:rsidRDefault="00051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E5"/>
    <w:multiLevelType w:val="multilevel"/>
    <w:tmpl w:val="05201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AF46A0"/>
    <w:multiLevelType w:val="multilevel"/>
    <w:tmpl w:val="661EE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B9224D"/>
    <w:multiLevelType w:val="multilevel"/>
    <w:tmpl w:val="546AE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337FF6"/>
    <w:multiLevelType w:val="multilevel"/>
    <w:tmpl w:val="A1885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541B68"/>
    <w:multiLevelType w:val="multilevel"/>
    <w:tmpl w:val="1A266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6B5B4C"/>
    <w:multiLevelType w:val="multilevel"/>
    <w:tmpl w:val="5692A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4157D9"/>
    <w:multiLevelType w:val="multilevel"/>
    <w:tmpl w:val="DB00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0C645E"/>
    <w:multiLevelType w:val="multilevel"/>
    <w:tmpl w:val="48CA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D92EF8"/>
    <w:multiLevelType w:val="multilevel"/>
    <w:tmpl w:val="14E26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E3E5E"/>
    <w:multiLevelType w:val="multilevel"/>
    <w:tmpl w:val="B49EB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504A70"/>
    <w:multiLevelType w:val="multilevel"/>
    <w:tmpl w:val="B8504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9"/>
  </w:num>
  <w:num w:numId="3">
    <w:abstractNumId w:val="4"/>
  </w:num>
  <w:num w:numId="4">
    <w:abstractNumId w:val="7"/>
  </w:num>
  <w:num w:numId="5">
    <w:abstractNumId w:val="5"/>
  </w:num>
  <w:num w:numId="6">
    <w:abstractNumId w:val="1"/>
  </w:num>
  <w:num w:numId="7">
    <w:abstractNumId w:val="0"/>
  </w:num>
  <w:num w:numId="8">
    <w:abstractNumId w:val="6"/>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07"/>
    <w:rsid w:val="00051511"/>
    <w:rsid w:val="001C72F0"/>
    <w:rsid w:val="00404909"/>
    <w:rsid w:val="009A10E3"/>
    <w:rsid w:val="00D7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451D"/>
  <w15:docId w15:val="{9B6D663F-34B3-4740-856C-0DBD0607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051511"/>
    <w:pPr>
      <w:tabs>
        <w:tab w:val="center" w:pos="4513"/>
        <w:tab w:val="right" w:pos="9026"/>
      </w:tabs>
      <w:spacing w:line="240" w:lineRule="auto"/>
    </w:pPr>
  </w:style>
  <w:style w:type="character" w:customStyle="1" w:styleId="HeaderChar">
    <w:name w:val="Header Char"/>
    <w:basedOn w:val="DefaultParagraphFont"/>
    <w:link w:val="Header"/>
    <w:uiPriority w:val="99"/>
    <w:rsid w:val="00051511"/>
  </w:style>
  <w:style w:type="paragraph" w:styleId="Footer">
    <w:name w:val="footer"/>
    <w:basedOn w:val="Normal"/>
    <w:link w:val="FooterChar"/>
    <w:uiPriority w:val="99"/>
    <w:unhideWhenUsed/>
    <w:rsid w:val="00051511"/>
    <w:pPr>
      <w:tabs>
        <w:tab w:val="center" w:pos="4513"/>
        <w:tab w:val="right" w:pos="9026"/>
      </w:tabs>
      <w:spacing w:line="240" w:lineRule="auto"/>
    </w:pPr>
  </w:style>
  <w:style w:type="character" w:customStyle="1" w:styleId="FooterChar">
    <w:name w:val="Footer Char"/>
    <w:basedOn w:val="DefaultParagraphFont"/>
    <w:link w:val="Footer"/>
    <w:uiPriority w:val="99"/>
    <w:rsid w:val="0005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cs.google.com/spreadsheets/d/1nawIiSRhoxdZwKt0jJMCjZt82bS6HgNCi-JmvKKbea8"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1518</Words>
  <Characters>8655</Characters>
  <Application>Microsoft Office Word</Application>
  <DocSecurity>0</DocSecurity>
  <Lines>72</Lines>
  <Paragraphs>20</Paragraphs>
  <ScaleCrop>false</ScaleCrop>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Gyorgy Antal</cp:lastModifiedBy>
  <cp:revision>3</cp:revision>
  <dcterms:created xsi:type="dcterms:W3CDTF">2021-06-08T14:12:00Z</dcterms:created>
  <dcterms:modified xsi:type="dcterms:W3CDTF">2021-06-08T14:27:00Z</dcterms:modified>
</cp:coreProperties>
</file>