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31CC449" w14:textId="77777777" w:rsidR="00C206A3" w:rsidRDefault="00C206A3" w:rsidP="00C206A3">
      <w:pPr>
        <w:jc w:val="center"/>
      </w:pPr>
      <w:bookmarkStart w:id="0" w:name="_b1y0q5med62k" w:colFirst="0" w:colLast="0"/>
      <w:bookmarkEnd w:id="0"/>
      <w:r>
        <w:t>Dr. George Antal</w:t>
      </w:r>
    </w:p>
    <w:p w14:paraId="51A2DB71" w14:textId="77777777" w:rsidR="00C206A3" w:rsidRDefault="00C206A3" w:rsidP="00C206A3">
      <w:pPr>
        <w:jc w:val="center"/>
      </w:pPr>
      <w:r>
        <w:t>3D Click Limited</w:t>
      </w:r>
    </w:p>
    <w:p w14:paraId="4A2DF50A" w14:textId="77777777" w:rsidR="00C206A3" w:rsidRDefault="00C206A3" w:rsidP="00C206A3">
      <w:pPr>
        <w:jc w:val="center"/>
      </w:pPr>
      <w:r>
        <w:t>c/o Suite 431, 28 Old Brompton Road, London SW7 3SS</w:t>
      </w:r>
    </w:p>
    <w:p w14:paraId="18FE4F3F" w14:textId="37DA3B9E" w:rsidR="00971E84" w:rsidRDefault="00C206A3" w:rsidP="00C206A3">
      <w:pPr>
        <w:pStyle w:val="Title"/>
        <w:jc w:val="center"/>
        <w:rPr>
          <w:b/>
          <w:color w:val="0000FF"/>
        </w:rPr>
      </w:pPr>
      <w:r>
        <w:rPr>
          <w:b/>
          <w:color w:val="0000FF"/>
        </w:rPr>
        <w:br/>
      </w:r>
      <w:r w:rsidR="008878FA">
        <w:rPr>
          <w:b/>
          <w:color w:val="0000FF"/>
        </w:rPr>
        <w:t>Percentile Channel vs. Sharpe Ratio Momentum</w:t>
      </w:r>
    </w:p>
    <w:p w14:paraId="6F32D663" w14:textId="77777777" w:rsidR="00971E84" w:rsidRDefault="008878FA">
      <w:pPr>
        <w:pStyle w:val="Subtitle"/>
        <w:spacing w:after="800"/>
        <w:jc w:val="center"/>
        <w:rPr>
          <w:sz w:val="40"/>
          <w:szCs w:val="40"/>
        </w:rPr>
      </w:pPr>
      <w:bookmarkStart w:id="1" w:name="_mry84ugnbrzc" w:colFirst="0" w:colLast="0"/>
      <w:bookmarkEnd w:id="1"/>
      <w:r>
        <w:rPr>
          <w:sz w:val="40"/>
          <w:szCs w:val="40"/>
        </w:rPr>
        <w:t>Developer notes</w:t>
      </w:r>
    </w:p>
    <w:sdt>
      <w:sdtPr>
        <w:id w:val="-1334441788"/>
        <w:docPartObj>
          <w:docPartGallery w:val="Table of Contents"/>
          <w:docPartUnique/>
        </w:docPartObj>
      </w:sdtPr>
      <w:sdtEndPr/>
      <w:sdtContent>
        <w:p w14:paraId="0C577E24" w14:textId="77777777" w:rsidR="00971E84" w:rsidRDefault="008878FA">
          <w:pPr>
            <w:tabs>
              <w:tab w:val="right" w:pos="14706"/>
            </w:tabs>
            <w:spacing w:before="80" w:line="240" w:lineRule="auto"/>
            <w:rPr>
              <w:b/>
              <w:color w:val="0000FF"/>
            </w:rPr>
          </w:pPr>
          <w:r>
            <w:fldChar w:fldCharType="begin"/>
          </w:r>
          <w:r>
            <w:instrText xml:space="preserve"> TOC \h \u \z \t "Heading 1,1,Heading 2,2,Heading 3,3,Heading 4,4,Heading 5,5,Heading 6,6,"</w:instrText>
          </w:r>
          <w:r>
            <w:fldChar w:fldCharType="separate"/>
          </w:r>
          <w:hyperlink w:anchor="_u0s884k03hi">
            <w:r>
              <w:rPr>
                <w:b/>
                <w:color w:val="0000FF"/>
              </w:rPr>
              <w:t>Motivation</w:t>
            </w:r>
          </w:hyperlink>
          <w:r>
            <w:rPr>
              <w:b/>
              <w:color w:val="0000FF"/>
            </w:rPr>
            <w:tab/>
          </w:r>
          <w:r>
            <w:fldChar w:fldCharType="begin"/>
          </w:r>
          <w:r>
            <w:instrText xml:space="preserve"> PAGEREF _u0s884k03hi \h </w:instrText>
          </w:r>
          <w:r>
            <w:fldChar w:fldCharType="separate"/>
          </w:r>
          <w:r>
            <w:rPr>
              <w:b/>
              <w:color w:val="0000FF"/>
            </w:rPr>
            <w:t>1</w:t>
          </w:r>
          <w:r>
            <w:fldChar w:fldCharType="end"/>
          </w:r>
        </w:p>
        <w:p w14:paraId="138EED65" w14:textId="77777777" w:rsidR="00971E84" w:rsidRDefault="008878FA">
          <w:pPr>
            <w:tabs>
              <w:tab w:val="right" w:pos="14706"/>
            </w:tabs>
            <w:spacing w:before="200" w:line="240" w:lineRule="auto"/>
            <w:rPr>
              <w:b/>
              <w:color w:val="0000FF"/>
            </w:rPr>
          </w:pPr>
          <w:hyperlink w:anchor="_4ttykt3q4av">
            <w:r>
              <w:rPr>
                <w:b/>
                <w:color w:val="0000FF"/>
              </w:rPr>
              <w:t>Methodology, Parameters and Structure of the UI</w:t>
            </w:r>
          </w:hyperlink>
          <w:r>
            <w:rPr>
              <w:b/>
              <w:color w:val="0000FF"/>
            </w:rPr>
            <w:tab/>
          </w:r>
          <w:r>
            <w:fldChar w:fldCharType="begin"/>
          </w:r>
          <w:r>
            <w:instrText xml:space="preserve"> PAGEREF _4ttykt3q4av \h </w:instrText>
          </w:r>
          <w:r>
            <w:fldChar w:fldCharType="separate"/>
          </w:r>
          <w:r>
            <w:rPr>
              <w:b/>
              <w:color w:val="0000FF"/>
            </w:rPr>
            <w:t>2</w:t>
          </w:r>
          <w:r>
            <w:fldChar w:fldCharType="end"/>
          </w:r>
        </w:p>
        <w:p w14:paraId="6D35E5A6" w14:textId="77777777" w:rsidR="00971E84" w:rsidRDefault="008878FA">
          <w:pPr>
            <w:tabs>
              <w:tab w:val="right" w:pos="14706"/>
            </w:tabs>
            <w:spacing w:before="200" w:line="240" w:lineRule="auto"/>
            <w:rPr>
              <w:b/>
              <w:color w:val="0000FF"/>
            </w:rPr>
          </w:pPr>
          <w:hyperlink w:anchor="_4flaakqsttbp">
            <w:r>
              <w:rPr>
                <w:b/>
                <w:color w:val="0000FF"/>
              </w:rPr>
              <w:t>Findings and Thoughts</w:t>
            </w:r>
          </w:hyperlink>
          <w:r>
            <w:rPr>
              <w:b/>
              <w:color w:val="0000FF"/>
            </w:rPr>
            <w:tab/>
          </w:r>
          <w:r>
            <w:fldChar w:fldCharType="begin"/>
          </w:r>
          <w:r>
            <w:instrText xml:space="preserve"> PAGEREF _4flaakqsttbp \h </w:instrText>
          </w:r>
          <w:r>
            <w:fldChar w:fldCharType="separate"/>
          </w:r>
          <w:r>
            <w:rPr>
              <w:b/>
              <w:color w:val="0000FF"/>
            </w:rPr>
            <w:t>4</w:t>
          </w:r>
          <w:r>
            <w:fldChar w:fldCharType="end"/>
          </w:r>
        </w:p>
        <w:p w14:paraId="47B806B8" w14:textId="77777777" w:rsidR="00971E84" w:rsidRDefault="008878FA">
          <w:pPr>
            <w:tabs>
              <w:tab w:val="right" w:pos="14706"/>
            </w:tabs>
            <w:spacing w:before="200" w:after="80" w:line="240" w:lineRule="auto"/>
            <w:rPr>
              <w:b/>
              <w:color w:val="0000FF"/>
            </w:rPr>
          </w:pPr>
          <w:hyperlink w:anchor="_5lswbi7358dl">
            <w:r>
              <w:rPr>
                <w:b/>
                <w:color w:val="0000FF"/>
              </w:rPr>
              <w:t>Conclusions</w:t>
            </w:r>
          </w:hyperlink>
          <w:r>
            <w:rPr>
              <w:b/>
              <w:color w:val="0000FF"/>
            </w:rPr>
            <w:tab/>
          </w:r>
          <w:r>
            <w:fldChar w:fldCharType="begin"/>
          </w:r>
          <w:r>
            <w:instrText xml:space="preserve"> PAGEREF _5lswbi7358dl \h </w:instrText>
          </w:r>
          <w:r>
            <w:fldChar w:fldCharType="separate"/>
          </w:r>
          <w:r>
            <w:rPr>
              <w:b/>
              <w:color w:val="0000FF"/>
            </w:rPr>
            <w:t>5</w:t>
          </w:r>
          <w:r>
            <w:fldChar w:fldCharType="end"/>
          </w:r>
          <w:r>
            <w:fldChar w:fldCharType="end"/>
          </w:r>
        </w:p>
      </w:sdtContent>
    </w:sdt>
    <w:p w14:paraId="79E68C98" w14:textId="77777777" w:rsidR="00971E84" w:rsidRDefault="008878FA">
      <w:pPr>
        <w:pStyle w:val="Heading1"/>
        <w:pBdr>
          <w:top w:val="nil"/>
          <w:left w:val="nil"/>
          <w:bottom w:val="nil"/>
          <w:right w:val="nil"/>
          <w:between w:val="nil"/>
        </w:pBdr>
        <w:spacing w:before="1300" w:line="268" w:lineRule="auto"/>
        <w:rPr>
          <w:b/>
          <w:color w:val="38761D"/>
        </w:rPr>
      </w:pPr>
      <w:bookmarkStart w:id="2" w:name="_u0s884k03hi" w:colFirst="0" w:colLast="0"/>
      <w:bookmarkEnd w:id="2"/>
      <w:r>
        <w:rPr>
          <w:b/>
          <w:color w:val="38761D"/>
        </w:rPr>
        <w:t>Motivation</w:t>
      </w:r>
    </w:p>
    <w:p w14:paraId="1CAC9590" w14:textId="77777777" w:rsidR="00971E84" w:rsidRDefault="00971E84">
      <w:pPr>
        <w:rPr>
          <w:sz w:val="28"/>
          <w:szCs w:val="28"/>
        </w:rPr>
      </w:pPr>
    </w:p>
    <w:p w14:paraId="23F26FFC" w14:textId="77777777" w:rsidR="00971E84" w:rsidRDefault="008878FA">
      <w:pPr>
        <w:jc w:val="both"/>
      </w:pPr>
      <w:r>
        <w:t xml:space="preserve">At the end of January 2015, </w:t>
      </w:r>
      <w:r>
        <w:rPr>
          <w:b/>
        </w:rPr>
        <w:t xml:space="preserve">David </w:t>
      </w:r>
      <w:proofErr w:type="spellStart"/>
      <w:r>
        <w:rPr>
          <w:b/>
        </w:rPr>
        <w:t>Varadi</w:t>
      </w:r>
      <w:proofErr w:type="spellEnd"/>
      <w:r>
        <w:t xml:space="preserve"> published a very simple strategy that applies </w:t>
      </w:r>
      <w:r>
        <w:rPr>
          <w:b/>
        </w:rPr>
        <w:t>Percentile Channels to a tactical asset allocation strategy</w:t>
      </w:r>
      <w:r>
        <w:t>.</w:t>
      </w:r>
      <w:r>
        <w:rPr>
          <w:vertAlign w:val="superscript"/>
        </w:rPr>
        <w:footnoteReference w:id="1"/>
      </w:r>
      <w:r>
        <w:t xml:space="preserve"> Since then, this method has been used in our </w:t>
      </w:r>
      <w:proofErr w:type="spellStart"/>
      <w:r>
        <w:t>AdvancedUberTAA</w:t>
      </w:r>
      <w:proofErr w:type="spellEnd"/>
      <w:r>
        <w:t xml:space="preserve"> strategies (</w:t>
      </w:r>
      <w:proofErr w:type="spellStart"/>
      <w:r>
        <w:t>GameChangers</w:t>
      </w:r>
      <w:proofErr w:type="spellEnd"/>
      <w:r>
        <w:t xml:space="preserve"> and </w:t>
      </w:r>
      <w:proofErr w:type="spellStart"/>
      <w:r>
        <w:t>GlobalAssets</w:t>
      </w:r>
      <w:proofErr w:type="spellEnd"/>
      <w:r>
        <w:t xml:space="preserve">). In 2017, </w:t>
      </w:r>
      <w:r>
        <w:rPr>
          <w:b/>
        </w:rPr>
        <w:t>Tamas</w:t>
      </w:r>
      <w:r>
        <w:t xml:space="preserve"> wrote a study in connection with </w:t>
      </w:r>
      <w:r>
        <w:rPr>
          <w:b/>
        </w:rPr>
        <w:t>Sharpe ratio</w:t>
      </w:r>
      <w:r>
        <w:t xml:space="preserve"> as an </w:t>
      </w:r>
      <w:r>
        <w:rPr>
          <w:b/>
        </w:rPr>
        <w:t>asset allocation indicator</w:t>
      </w:r>
      <w:r>
        <w:rPr>
          <w:vertAlign w:val="superscript"/>
        </w:rPr>
        <w:footnoteReference w:id="2"/>
      </w:r>
      <w:r>
        <w:t>.</w:t>
      </w:r>
    </w:p>
    <w:p w14:paraId="26BED2A4" w14:textId="77777777" w:rsidR="00971E84" w:rsidRDefault="00971E84">
      <w:pPr>
        <w:jc w:val="both"/>
      </w:pPr>
    </w:p>
    <w:p w14:paraId="01A3AAFC" w14:textId="77777777" w:rsidR="00971E84" w:rsidRDefault="008878FA">
      <w:pPr>
        <w:jc w:val="both"/>
      </w:pPr>
      <w:r>
        <w:t>After the results of these studies, we sought to ans</w:t>
      </w:r>
      <w:r>
        <w:t xml:space="preserve">wer the question of </w:t>
      </w:r>
      <w:r>
        <w:rPr>
          <w:b/>
        </w:rPr>
        <w:t>whether percentile channel or Sharpe ratio is the better allocation indicator</w:t>
      </w:r>
      <w:r>
        <w:t xml:space="preserve">. As a first step, a simple investigation has been made using an </w:t>
      </w:r>
      <w:r>
        <w:rPr>
          <w:b/>
        </w:rPr>
        <w:t>Excel application</w:t>
      </w:r>
      <w:r>
        <w:t xml:space="preserve">, which can be downloaded from </w:t>
      </w:r>
      <w:hyperlink r:id="rId7">
        <w:r>
          <w:rPr>
            <w:color w:val="1155CC"/>
            <w:u w:val="single"/>
          </w:rPr>
          <w:t>here</w:t>
        </w:r>
      </w:hyperlink>
      <w:r>
        <w:t xml:space="preserve">. In this analysis, only one asset, the </w:t>
      </w:r>
      <w:r>
        <w:rPr>
          <w:b/>
        </w:rPr>
        <w:t>QQQ was used and these indicators determined when to be in position and when not</w:t>
      </w:r>
      <w:r>
        <w:t>.</w:t>
      </w:r>
    </w:p>
    <w:p w14:paraId="6BF5E509" w14:textId="77777777" w:rsidR="00971E84" w:rsidRDefault="008878FA">
      <w:pPr>
        <w:pStyle w:val="Heading1"/>
        <w:spacing w:before="0" w:line="268" w:lineRule="auto"/>
        <w:rPr>
          <w:b/>
          <w:color w:val="38761D"/>
        </w:rPr>
      </w:pPr>
      <w:bookmarkStart w:id="3" w:name="_rsgij7se4af0" w:colFirst="0" w:colLast="0"/>
      <w:bookmarkEnd w:id="3"/>
      <w:r>
        <w:br w:type="page"/>
      </w:r>
    </w:p>
    <w:p w14:paraId="536072A5" w14:textId="77777777" w:rsidR="00971E84" w:rsidRDefault="008878FA">
      <w:pPr>
        <w:pStyle w:val="Heading1"/>
        <w:spacing w:before="0" w:line="268" w:lineRule="auto"/>
        <w:rPr>
          <w:b/>
          <w:color w:val="38761D"/>
        </w:rPr>
      </w:pPr>
      <w:bookmarkStart w:id="4" w:name="_4ttykt3q4av" w:colFirst="0" w:colLast="0"/>
      <w:bookmarkEnd w:id="4"/>
      <w:r>
        <w:rPr>
          <w:b/>
          <w:color w:val="38761D"/>
        </w:rPr>
        <w:lastRenderedPageBreak/>
        <w:t>Methodology, Parameters and Structure of the UI</w:t>
      </w:r>
    </w:p>
    <w:p w14:paraId="361AFED5" w14:textId="77777777" w:rsidR="00971E84" w:rsidRDefault="00971E84">
      <w:pPr>
        <w:rPr>
          <w:sz w:val="28"/>
          <w:szCs w:val="28"/>
        </w:rPr>
      </w:pPr>
    </w:p>
    <w:p w14:paraId="44AEF184" w14:textId="77777777" w:rsidR="00971E84" w:rsidRDefault="008878FA">
      <w:pPr>
        <w:jc w:val="both"/>
      </w:pPr>
      <w:r>
        <w:t xml:space="preserve">During the analysis, adjusted </w:t>
      </w:r>
      <w:r>
        <w:rPr>
          <w:b/>
        </w:rPr>
        <w:t>daily close prices of QQQ from 1999-04-01 to 2021-07-30</w:t>
      </w:r>
      <w:r>
        <w:t xml:space="preserve"> were used.</w:t>
      </w:r>
    </w:p>
    <w:p w14:paraId="06744161" w14:textId="77777777" w:rsidR="00971E84" w:rsidRDefault="00971E84">
      <w:pPr>
        <w:jc w:val="both"/>
      </w:pPr>
    </w:p>
    <w:p w14:paraId="34FCD359" w14:textId="77777777" w:rsidR="00971E84" w:rsidRDefault="008878FA">
      <w:pPr>
        <w:jc w:val="both"/>
        <w:rPr>
          <w:b/>
          <w:u w:val="single"/>
        </w:rPr>
      </w:pPr>
      <w:r>
        <w:rPr>
          <w:b/>
          <w:u w:val="single"/>
        </w:rPr>
        <w:t>Methodology:</w:t>
      </w:r>
    </w:p>
    <w:p w14:paraId="6244BE25" w14:textId="77777777" w:rsidR="00971E84" w:rsidRDefault="008878FA">
      <w:pPr>
        <w:numPr>
          <w:ilvl w:val="0"/>
          <w:numId w:val="5"/>
        </w:numPr>
        <w:jc w:val="both"/>
        <w:rPr>
          <w:b/>
        </w:rPr>
      </w:pPr>
      <w:r>
        <w:rPr>
          <w:b/>
          <w:u w:val="single"/>
        </w:rPr>
        <w:t>Percentile channel strategy:</w:t>
      </w:r>
    </w:p>
    <w:p w14:paraId="023F6FDB" w14:textId="77777777" w:rsidR="00971E84" w:rsidRDefault="008878FA">
      <w:pPr>
        <w:ind w:firstLine="720"/>
        <w:jc w:val="both"/>
      </w:pPr>
      <w:r>
        <w:t>A long position would be initiated if the price exceeds the “</w:t>
      </w:r>
      <w:r>
        <w:rPr>
          <w:i/>
        </w:rPr>
        <w:t>k”-</w:t>
      </w:r>
      <w:r>
        <w:t>th percentile of prices (upper threshold) over the l</w:t>
      </w:r>
      <w:r>
        <w:t>ast “</w:t>
      </w:r>
      <w:r>
        <w:rPr>
          <w:i/>
        </w:rPr>
        <w:t>n</w:t>
      </w:r>
      <w:r>
        <w:t>” days. The position would be closed if the price falls below the “</w:t>
      </w:r>
      <w:r>
        <w:rPr>
          <w:i/>
        </w:rPr>
        <w:t>l”-</w:t>
      </w:r>
      <w:r>
        <w:t>th percentile of prices (lower threshold) over the last “n” days.</w:t>
      </w:r>
    </w:p>
    <w:p w14:paraId="56B2D2F0" w14:textId="77777777" w:rsidR="00971E84" w:rsidRDefault="00971E84">
      <w:pPr>
        <w:jc w:val="both"/>
      </w:pPr>
    </w:p>
    <w:p w14:paraId="25532BBD" w14:textId="77777777" w:rsidR="00971E84" w:rsidRDefault="008878FA">
      <w:pPr>
        <w:numPr>
          <w:ilvl w:val="0"/>
          <w:numId w:val="2"/>
        </w:numPr>
        <w:jc w:val="both"/>
        <w:rPr>
          <w:b/>
        </w:rPr>
      </w:pPr>
      <w:r>
        <w:rPr>
          <w:b/>
          <w:u w:val="single"/>
        </w:rPr>
        <w:t>Sharpe ratio strategy:</w:t>
      </w:r>
    </w:p>
    <w:p w14:paraId="02C1C762" w14:textId="77777777" w:rsidR="00971E84" w:rsidRDefault="008878FA">
      <w:pPr>
        <w:ind w:firstLine="720"/>
        <w:jc w:val="both"/>
      </w:pPr>
      <w:r>
        <w:t>A long position would be initiated if the Sharpe ratio over the last “t” days exceeds a th</w:t>
      </w:r>
      <w:r>
        <w:t>reshold value “s”. The position would be closed if the Sharpe ratio over the last “t” days falls below this “s” threshold value.</w:t>
      </w:r>
    </w:p>
    <w:p w14:paraId="5F0AA648" w14:textId="77777777" w:rsidR="00971E84" w:rsidRDefault="00971E84">
      <w:pPr>
        <w:jc w:val="both"/>
      </w:pPr>
    </w:p>
    <w:p w14:paraId="369A1464" w14:textId="77777777" w:rsidR="00971E84" w:rsidRDefault="008878FA">
      <w:pPr>
        <w:jc w:val="both"/>
        <w:rPr>
          <w:b/>
          <w:u w:val="single"/>
        </w:rPr>
      </w:pPr>
      <w:r>
        <w:rPr>
          <w:b/>
          <w:u w:val="single"/>
        </w:rPr>
        <w:t>Parameters of the calculator:</w:t>
      </w:r>
    </w:p>
    <w:p w14:paraId="500D10F3" w14:textId="77777777" w:rsidR="00971E84" w:rsidRDefault="008878FA">
      <w:pPr>
        <w:numPr>
          <w:ilvl w:val="0"/>
          <w:numId w:val="4"/>
        </w:numPr>
        <w:jc w:val="both"/>
      </w:pPr>
      <w:r>
        <w:rPr>
          <w:u w:val="single"/>
        </w:rPr>
        <w:t>General parameters:</w:t>
      </w:r>
    </w:p>
    <w:p w14:paraId="20502534" w14:textId="77777777" w:rsidR="00971E84" w:rsidRDefault="008878FA">
      <w:pPr>
        <w:numPr>
          <w:ilvl w:val="1"/>
          <w:numId w:val="4"/>
        </w:numPr>
        <w:jc w:val="both"/>
      </w:pPr>
      <w:r>
        <w:rPr>
          <w:b/>
          <w:i/>
        </w:rPr>
        <w:t>Start Date</w:t>
      </w:r>
      <w:r>
        <w:t>: range of selectable values: 1999-04-01 - 2021-07-30;</w:t>
      </w:r>
    </w:p>
    <w:p w14:paraId="3DAFF716" w14:textId="77777777" w:rsidR="00971E84" w:rsidRDefault="008878FA">
      <w:pPr>
        <w:numPr>
          <w:ilvl w:val="1"/>
          <w:numId w:val="4"/>
        </w:numPr>
        <w:jc w:val="both"/>
      </w:pPr>
      <w:r>
        <w:rPr>
          <w:b/>
          <w:i/>
        </w:rPr>
        <w:t>End Date</w:t>
      </w:r>
      <w:r>
        <w:t>: r</w:t>
      </w:r>
      <w:r>
        <w:t>ange of selectable values: 1999-04-01 - 2021-07-30;</w:t>
      </w:r>
    </w:p>
    <w:p w14:paraId="22A6CD80" w14:textId="77777777" w:rsidR="00971E84" w:rsidRDefault="008878FA">
      <w:pPr>
        <w:numPr>
          <w:ilvl w:val="1"/>
          <w:numId w:val="4"/>
        </w:numPr>
        <w:jc w:val="both"/>
      </w:pPr>
      <w:r>
        <w:rPr>
          <w:b/>
          <w:i/>
        </w:rPr>
        <w:t>Short Allowed</w:t>
      </w:r>
      <w:r>
        <w:t xml:space="preserve">: </w:t>
      </w:r>
      <w:proofErr w:type="spellStart"/>
      <w:r>
        <w:t>boolean</w:t>
      </w:r>
      <w:proofErr w:type="spellEnd"/>
      <w:r>
        <w:t xml:space="preserve"> type variable (TRUE or FALSE). One can decide whether or not to use the calculator as a SAR model (stop and reverse = always in the market). When the value is true, it becomes a SAR: once you go long above the upper threshold you stay long until </w:t>
      </w:r>
      <w:r>
        <w:t>you go below the lower threshold where you would go short (and vice versa). Otherwise you would go into cash instead of short.</w:t>
      </w:r>
    </w:p>
    <w:p w14:paraId="74267E6A" w14:textId="77777777" w:rsidR="00971E84" w:rsidRDefault="008878FA">
      <w:pPr>
        <w:numPr>
          <w:ilvl w:val="0"/>
          <w:numId w:val="4"/>
        </w:numPr>
        <w:jc w:val="both"/>
      </w:pPr>
      <w:r>
        <w:rPr>
          <w:u w:val="single"/>
        </w:rPr>
        <w:t>Percentile Channel parameters:</w:t>
      </w:r>
    </w:p>
    <w:p w14:paraId="03CC9D53" w14:textId="77777777" w:rsidR="00971E84" w:rsidRDefault="008878FA">
      <w:pPr>
        <w:numPr>
          <w:ilvl w:val="1"/>
          <w:numId w:val="4"/>
        </w:numPr>
        <w:jc w:val="both"/>
        <w:rPr>
          <w:b/>
          <w:i/>
        </w:rPr>
      </w:pPr>
      <w:r>
        <w:rPr>
          <w:b/>
          <w:i/>
        </w:rPr>
        <w:t xml:space="preserve">Lookback Period: </w:t>
      </w:r>
      <w:r>
        <w:t>“n”, the number of trading days used to calculate channels.</w:t>
      </w:r>
    </w:p>
    <w:p w14:paraId="5BBC3385" w14:textId="77777777" w:rsidR="00971E84" w:rsidRDefault="008878FA">
      <w:pPr>
        <w:numPr>
          <w:ilvl w:val="1"/>
          <w:numId w:val="4"/>
        </w:numPr>
        <w:jc w:val="both"/>
      </w:pPr>
      <w:r>
        <w:rPr>
          <w:b/>
          <w:i/>
        </w:rPr>
        <w:t>Lower Threshold Perce</w:t>
      </w:r>
      <w:r>
        <w:rPr>
          <w:b/>
          <w:i/>
        </w:rPr>
        <w:t>ntile:</w:t>
      </w:r>
      <w:r>
        <w:t xml:space="preserve"> “l”, a percentile value between 0% and the upper threshold. Default value: 25% based on </w:t>
      </w:r>
      <w:proofErr w:type="spellStart"/>
      <w:r>
        <w:t>Varadi’s</w:t>
      </w:r>
      <w:proofErr w:type="spellEnd"/>
      <w:r>
        <w:t xml:space="preserve"> study.</w:t>
      </w:r>
    </w:p>
    <w:p w14:paraId="5E116243" w14:textId="77777777" w:rsidR="00971E84" w:rsidRDefault="008878FA">
      <w:pPr>
        <w:numPr>
          <w:ilvl w:val="1"/>
          <w:numId w:val="4"/>
        </w:numPr>
        <w:jc w:val="both"/>
      </w:pPr>
      <w:r>
        <w:rPr>
          <w:b/>
          <w:i/>
        </w:rPr>
        <w:t>Upper Threshold Percentile:</w:t>
      </w:r>
      <w:r>
        <w:t xml:space="preserve"> “k”, a percentile value between the lower threshold and 100%. Default value: 75% based on </w:t>
      </w:r>
      <w:proofErr w:type="spellStart"/>
      <w:r>
        <w:t>Varadi’s</w:t>
      </w:r>
      <w:proofErr w:type="spellEnd"/>
      <w:r>
        <w:t xml:space="preserve"> study.</w:t>
      </w:r>
    </w:p>
    <w:p w14:paraId="5BF38239" w14:textId="77777777" w:rsidR="00971E84" w:rsidRDefault="008878FA">
      <w:pPr>
        <w:numPr>
          <w:ilvl w:val="0"/>
          <w:numId w:val="4"/>
        </w:numPr>
        <w:jc w:val="both"/>
      </w:pPr>
      <w:r>
        <w:rPr>
          <w:u w:val="single"/>
        </w:rPr>
        <w:t>Sharpe Rati</w:t>
      </w:r>
      <w:r>
        <w:rPr>
          <w:u w:val="single"/>
        </w:rPr>
        <w:t>o Momentum parameters:</w:t>
      </w:r>
    </w:p>
    <w:p w14:paraId="27D7B567" w14:textId="77777777" w:rsidR="00971E84" w:rsidRDefault="008878FA">
      <w:pPr>
        <w:numPr>
          <w:ilvl w:val="1"/>
          <w:numId w:val="4"/>
        </w:numPr>
        <w:jc w:val="both"/>
      </w:pPr>
      <w:r>
        <w:rPr>
          <w:b/>
          <w:i/>
        </w:rPr>
        <w:t xml:space="preserve">Lookback Period: </w:t>
      </w:r>
      <w:r>
        <w:t>“t”, the number of trading days used to calculate Sharpe ratios.</w:t>
      </w:r>
    </w:p>
    <w:p w14:paraId="1956EB17" w14:textId="77777777" w:rsidR="00971E84" w:rsidRDefault="008878FA">
      <w:pPr>
        <w:numPr>
          <w:ilvl w:val="1"/>
          <w:numId w:val="4"/>
        </w:numPr>
        <w:jc w:val="both"/>
      </w:pPr>
      <w:r>
        <w:rPr>
          <w:b/>
          <w:i/>
        </w:rPr>
        <w:t>Threshold Sharpe Ratio Value:</w:t>
      </w:r>
      <w:r>
        <w:t xml:space="preserve"> “s”.</w:t>
      </w:r>
    </w:p>
    <w:p w14:paraId="36858D73" w14:textId="77777777" w:rsidR="00971E84" w:rsidRDefault="00971E84">
      <w:pPr>
        <w:jc w:val="both"/>
      </w:pPr>
    </w:p>
    <w:p w14:paraId="3C90422E" w14:textId="77777777" w:rsidR="00971E84" w:rsidRDefault="008878FA">
      <w:pPr>
        <w:jc w:val="both"/>
        <w:rPr>
          <w:b/>
          <w:u w:val="single"/>
        </w:rPr>
      </w:pPr>
      <w:r>
        <w:rPr>
          <w:b/>
          <w:u w:val="single"/>
        </w:rPr>
        <w:t>Structure of UI:</w:t>
      </w:r>
    </w:p>
    <w:p w14:paraId="0547AA8B" w14:textId="77777777" w:rsidR="00971E84" w:rsidRDefault="008878FA">
      <w:pPr>
        <w:numPr>
          <w:ilvl w:val="0"/>
          <w:numId w:val="3"/>
        </w:numPr>
        <w:jc w:val="both"/>
      </w:pPr>
      <w:r>
        <w:t>Table of parameters;</w:t>
      </w:r>
    </w:p>
    <w:p w14:paraId="29664315" w14:textId="77777777" w:rsidR="00971E84" w:rsidRDefault="008878FA">
      <w:pPr>
        <w:numPr>
          <w:ilvl w:val="0"/>
          <w:numId w:val="3"/>
        </w:numPr>
        <w:jc w:val="both"/>
      </w:pPr>
      <w:r>
        <w:t>Table of results: results of selected and full periods as well;</w:t>
      </w:r>
    </w:p>
    <w:p w14:paraId="53283307" w14:textId="77777777" w:rsidR="00971E84" w:rsidRDefault="008878FA">
      <w:pPr>
        <w:numPr>
          <w:ilvl w:val="0"/>
          <w:numId w:val="3"/>
        </w:numPr>
        <w:jc w:val="both"/>
      </w:pPr>
      <w:r>
        <w:t>Chart of Portfolio Value in selected period;</w:t>
      </w:r>
    </w:p>
    <w:p w14:paraId="483A6870" w14:textId="77777777" w:rsidR="00971E84" w:rsidRDefault="008878FA">
      <w:pPr>
        <w:numPr>
          <w:ilvl w:val="0"/>
          <w:numId w:val="3"/>
        </w:numPr>
        <w:jc w:val="both"/>
      </w:pPr>
      <w:r>
        <w:t>Chart of Portfolio Value in full period.</w:t>
      </w:r>
    </w:p>
    <w:p w14:paraId="03C562D0" w14:textId="77777777" w:rsidR="00971E84" w:rsidRDefault="008878FA">
      <w:pPr>
        <w:jc w:val="center"/>
        <w:rPr>
          <w:sz w:val="18"/>
          <w:szCs w:val="18"/>
        </w:rPr>
      </w:pPr>
      <w:r>
        <w:br w:type="page"/>
      </w:r>
    </w:p>
    <w:p w14:paraId="466C7C09" w14:textId="77777777" w:rsidR="00971E84" w:rsidRDefault="008878FA">
      <w:pPr>
        <w:jc w:val="center"/>
      </w:pPr>
      <w:r>
        <w:rPr>
          <w:sz w:val="18"/>
          <w:szCs w:val="18"/>
        </w:rPr>
        <w:lastRenderedPageBreak/>
        <w:t>Chart 1: Structure of UI</w:t>
      </w:r>
    </w:p>
    <w:p w14:paraId="4ADF4122" w14:textId="77777777" w:rsidR="00971E84" w:rsidRDefault="008878FA">
      <w:pPr>
        <w:jc w:val="both"/>
        <w:rPr>
          <w:b/>
          <w:color w:val="38761D"/>
        </w:rPr>
      </w:pPr>
      <w:r>
        <w:rPr>
          <w:b/>
          <w:noProof/>
          <w:color w:val="38761D"/>
        </w:rPr>
        <w:drawing>
          <wp:inline distT="114300" distB="114300" distL="114300" distR="114300" wp14:anchorId="74CD49AB" wp14:editId="02901A03">
            <wp:extent cx="9322163" cy="6295729"/>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9322163" cy="6295729"/>
                    </a:xfrm>
                    <a:prstGeom prst="rect">
                      <a:avLst/>
                    </a:prstGeom>
                    <a:ln/>
                  </pic:spPr>
                </pic:pic>
              </a:graphicData>
            </a:graphic>
          </wp:inline>
        </w:drawing>
      </w:r>
    </w:p>
    <w:p w14:paraId="71D28359" w14:textId="77777777" w:rsidR="00971E84" w:rsidRDefault="008878FA">
      <w:pPr>
        <w:pStyle w:val="Heading1"/>
        <w:pBdr>
          <w:top w:val="nil"/>
          <w:left w:val="nil"/>
          <w:bottom w:val="nil"/>
          <w:right w:val="nil"/>
          <w:between w:val="nil"/>
        </w:pBdr>
        <w:rPr>
          <w:b/>
          <w:color w:val="38761D"/>
        </w:rPr>
      </w:pPr>
      <w:bookmarkStart w:id="5" w:name="_4flaakqsttbp" w:colFirst="0" w:colLast="0"/>
      <w:bookmarkEnd w:id="5"/>
      <w:r>
        <w:rPr>
          <w:b/>
          <w:color w:val="38761D"/>
        </w:rPr>
        <w:lastRenderedPageBreak/>
        <w:t>Findings and Thoughts</w:t>
      </w:r>
    </w:p>
    <w:p w14:paraId="3405F0E8" w14:textId="77777777" w:rsidR="00971E84" w:rsidRDefault="00971E84">
      <w:pPr>
        <w:jc w:val="both"/>
      </w:pPr>
    </w:p>
    <w:p w14:paraId="62F7CC9F" w14:textId="77777777" w:rsidR="00971E84" w:rsidRDefault="008878FA">
      <w:pPr>
        <w:spacing w:after="120"/>
        <w:jc w:val="both"/>
        <w:rPr>
          <w:u w:val="single"/>
        </w:rPr>
      </w:pPr>
      <w:r>
        <w:rPr>
          <w:u w:val="single"/>
        </w:rPr>
        <w:t>After testing several different sets of parameters, we</w:t>
      </w:r>
      <w:r>
        <w:rPr>
          <w:u w:val="single"/>
        </w:rPr>
        <w:t xml:space="preserve"> came to the following conclusions:</w:t>
      </w:r>
    </w:p>
    <w:p w14:paraId="5771CF85" w14:textId="77777777" w:rsidR="00971E84" w:rsidRDefault="008878FA">
      <w:pPr>
        <w:numPr>
          <w:ilvl w:val="0"/>
          <w:numId w:val="1"/>
        </w:numPr>
        <w:spacing w:after="120"/>
        <w:jc w:val="both"/>
      </w:pPr>
      <w:r>
        <w:t xml:space="preserve">Allowing short transactions significantly reduces the performance of both methods. </w:t>
      </w:r>
    </w:p>
    <w:p w14:paraId="44330067" w14:textId="77777777" w:rsidR="00971E84" w:rsidRDefault="008878FA">
      <w:pPr>
        <w:numPr>
          <w:ilvl w:val="0"/>
          <w:numId w:val="1"/>
        </w:numPr>
        <w:spacing w:after="120"/>
        <w:jc w:val="both"/>
      </w:pPr>
      <w:r>
        <w:t>Daily and monthly rebalance periods have almost the same effect on performance, while weekly rebalance seems less advisable.</w:t>
      </w:r>
    </w:p>
    <w:p w14:paraId="73A33626" w14:textId="77777777" w:rsidR="00971E84" w:rsidRDefault="008878FA">
      <w:pPr>
        <w:numPr>
          <w:ilvl w:val="0"/>
          <w:numId w:val="1"/>
        </w:numPr>
        <w:spacing w:after="120"/>
        <w:jc w:val="both"/>
      </w:pPr>
      <w:r>
        <w:t>Using defau</w:t>
      </w:r>
      <w:r>
        <w:t xml:space="preserve">lt parameters (can be seen in Chart1), in the long run (e.g. using the full period), when both bullish and bearish periods appear, both methods perform better in terms of Sharpe ratio and MAR ratio than the simple </w:t>
      </w:r>
      <w:proofErr w:type="spellStart"/>
      <w:r>
        <w:t>buy&amp;hold</w:t>
      </w:r>
      <w:proofErr w:type="spellEnd"/>
      <w:r>
        <w:t xml:space="preserve"> strategy.</w:t>
      </w:r>
    </w:p>
    <w:p w14:paraId="57613BA0" w14:textId="77777777" w:rsidR="00971E84" w:rsidRDefault="008878FA">
      <w:pPr>
        <w:numPr>
          <w:ilvl w:val="0"/>
          <w:numId w:val="1"/>
        </w:numPr>
        <w:spacing w:after="120"/>
        <w:jc w:val="both"/>
      </w:pPr>
      <w:r>
        <w:t>Using default parameter</w:t>
      </w:r>
      <w:r>
        <w:t>s, during the internet bubble bursting (from peak on 2000-03-27 to bottom on 2002-10-09) and the financial crisis of 2007-2008 (from peak on 2007-10-31 to bottom on 2008-11-20), the percentile channel method reacted faster and had better results than the S</w:t>
      </w:r>
      <w:r>
        <w:t>hare ratio momentum method. During the recovery phases, the percentile channel method also slightly outperformed its rival.</w:t>
      </w:r>
    </w:p>
    <w:p w14:paraId="483951A6" w14:textId="77777777" w:rsidR="00971E84" w:rsidRDefault="008878FA">
      <w:pPr>
        <w:numPr>
          <w:ilvl w:val="0"/>
          <w:numId w:val="1"/>
        </w:numPr>
        <w:spacing w:after="120"/>
        <w:jc w:val="both"/>
      </w:pPr>
      <w:r>
        <w:t>In the long run, the percentile channel method seems somewhat better than the Sharpe ratio method.</w:t>
      </w:r>
    </w:p>
    <w:p w14:paraId="59FE360E" w14:textId="77777777" w:rsidR="00971E84" w:rsidRDefault="00971E84">
      <w:pPr>
        <w:rPr>
          <w:sz w:val="18"/>
          <w:szCs w:val="18"/>
        </w:rPr>
      </w:pPr>
    </w:p>
    <w:p w14:paraId="086C8E62" w14:textId="77777777" w:rsidR="00971E84" w:rsidRDefault="00971E84">
      <w:pPr>
        <w:jc w:val="center"/>
        <w:rPr>
          <w:sz w:val="18"/>
          <w:szCs w:val="18"/>
        </w:rPr>
      </w:pPr>
    </w:p>
    <w:p w14:paraId="479EEA2B" w14:textId="77777777" w:rsidR="00971E84" w:rsidRDefault="008878FA">
      <w:pPr>
        <w:pStyle w:val="Heading1"/>
        <w:jc w:val="both"/>
        <w:rPr>
          <w:b/>
          <w:color w:val="38761D"/>
        </w:rPr>
      </w:pPr>
      <w:bookmarkStart w:id="6" w:name="_oj440t1p2b1t" w:colFirst="0" w:colLast="0"/>
      <w:bookmarkEnd w:id="6"/>
      <w:r>
        <w:br w:type="page"/>
      </w:r>
    </w:p>
    <w:p w14:paraId="368A3FAD" w14:textId="77777777" w:rsidR="00971E84" w:rsidRDefault="008878FA">
      <w:pPr>
        <w:pStyle w:val="Heading1"/>
        <w:jc w:val="both"/>
      </w:pPr>
      <w:bookmarkStart w:id="7" w:name="_5lswbi7358dl" w:colFirst="0" w:colLast="0"/>
      <w:bookmarkEnd w:id="7"/>
      <w:r>
        <w:rPr>
          <w:b/>
          <w:color w:val="38761D"/>
        </w:rPr>
        <w:lastRenderedPageBreak/>
        <w:t>Conclusions</w:t>
      </w:r>
    </w:p>
    <w:p w14:paraId="70B99155" w14:textId="77777777" w:rsidR="00971E84" w:rsidRDefault="00971E84"/>
    <w:p w14:paraId="1A0960A5" w14:textId="77777777" w:rsidR="00971E84" w:rsidRDefault="008878FA">
      <w:pPr>
        <w:jc w:val="both"/>
        <w:rPr>
          <w:b/>
        </w:rPr>
      </w:pPr>
      <w:r>
        <w:t xml:space="preserve">Based on this brief investigation, </w:t>
      </w:r>
      <w:r>
        <w:rPr>
          <w:b/>
        </w:rPr>
        <w:t>the percentile channel method seems slightly better than the Sharpe ratio based</w:t>
      </w:r>
      <w:r>
        <w:t>.</w:t>
      </w:r>
    </w:p>
    <w:sectPr w:rsidR="00971E84">
      <w:headerReference w:type="even" r:id="rId9"/>
      <w:headerReference w:type="default" r:id="rId10"/>
      <w:footerReference w:type="even" r:id="rId11"/>
      <w:footerReference w:type="default" r:id="rId12"/>
      <w:headerReference w:type="first" r:id="rId13"/>
      <w:footerReference w:type="first" r:id="rId14"/>
      <w:pgSz w:w="15840" w:h="12240" w:orient="landscape"/>
      <w:pgMar w:top="566" w:right="566" w:bottom="566" w:left="566"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80AB5F" w14:textId="77777777" w:rsidR="008878FA" w:rsidRDefault="008878FA">
      <w:pPr>
        <w:spacing w:line="240" w:lineRule="auto"/>
      </w:pPr>
      <w:r>
        <w:separator/>
      </w:r>
    </w:p>
  </w:endnote>
  <w:endnote w:type="continuationSeparator" w:id="0">
    <w:p w14:paraId="0934B8ED" w14:textId="77777777" w:rsidR="008878FA" w:rsidRDefault="008878F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6F5D2" w14:textId="77777777" w:rsidR="00C206A3" w:rsidRDefault="00C206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0B587" w14:textId="77777777" w:rsidR="00971E84" w:rsidRDefault="008878FA">
    <w:pPr>
      <w:pBdr>
        <w:top w:val="nil"/>
        <w:left w:val="nil"/>
        <w:bottom w:val="nil"/>
        <w:right w:val="nil"/>
        <w:between w:val="nil"/>
      </w:pBdr>
      <w:jc w:val="right"/>
    </w:pPr>
    <w:r>
      <w:fldChar w:fldCharType="begin"/>
    </w:r>
    <w:r>
      <w:instrText>PAGE</w:instrText>
    </w:r>
    <w:r>
      <w:fldChar w:fldCharType="separate"/>
    </w:r>
    <w:r w:rsidR="00C206A3">
      <w:rPr>
        <w:noProof/>
      </w:rPr>
      <w:t>1</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ECCA9" w14:textId="77777777" w:rsidR="00C206A3" w:rsidRDefault="00C206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DD2515" w14:textId="77777777" w:rsidR="008878FA" w:rsidRDefault="008878FA">
      <w:pPr>
        <w:spacing w:line="240" w:lineRule="auto"/>
      </w:pPr>
      <w:r>
        <w:separator/>
      </w:r>
    </w:p>
  </w:footnote>
  <w:footnote w:type="continuationSeparator" w:id="0">
    <w:p w14:paraId="2C5BC80F" w14:textId="77777777" w:rsidR="008878FA" w:rsidRDefault="008878FA">
      <w:pPr>
        <w:spacing w:line="240" w:lineRule="auto"/>
      </w:pPr>
      <w:r>
        <w:continuationSeparator/>
      </w:r>
    </w:p>
  </w:footnote>
  <w:footnote w:id="1">
    <w:p w14:paraId="4DDED9EC" w14:textId="77777777" w:rsidR="00971E84" w:rsidRDefault="008878FA">
      <w:pPr>
        <w:spacing w:line="240" w:lineRule="auto"/>
        <w:rPr>
          <w:sz w:val="20"/>
          <w:szCs w:val="20"/>
        </w:rPr>
      </w:pPr>
      <w:r>
        <w:rPr>
          <w:vertAlign w:val="superscript"/>
        </w:rPr>
        <w:footnoteRef/>
      </w:r>
      <w:r>
        <w:rPr>
          <w:sz w:val="20"/>
          <w:szCs w:val="20"/>
        </w:rPr>
        <w:t xml:space="preserve"> </w:t>
      </w:r>
      <w:hyperlink r:id="rId1">
        <w:r>
          <w:rPr>
            <w:rFonts w:ascii="Calibri" w:eastAsia="Calibri" w:hAnsi="Calibri" w:cs="Calibri"/>
            <w:color w:val="1155CC"/>
            <w:u w:val="single"/>
          </w:rPr>
          <w:t>https://cssanalytics.wordpress.com/2015/01/26/a-simple-tactical-asset-allocation-portfolio-with-percentile-channels/</w:t>
        </w:r>
      </w:hyperlink>
    </w:p>
  </w:footnote>
  <w:footnote w:id="2">
    <w:p w14:paraId="795B0467" w14:textId="77777777" w:rsidR="00971E84" w:rsidRDefault="008878FA">
      <w:pPr>
        <w:spacing w:line="240" w:lineRule="auto"/>
        <w:rPr>
          <w:sz w:val="20"/>
          <w:szCs w:val="20"/>
        </w:rPr>
      </w:pPr>
      <w:r>
        <w:rPr>
          <w:vertAlign w:val="superscript"/>
        </w:rPr>
        <w:footnoteRef/>
      </w:r>
      <w:r>
        <w:rPr>
          <w:sz w:val="20"/>
          <w:szCs w:val="20"/>
        </w:rPr>
        <w:t xml:space="preserve"> </w:t>
      </w:r>
      <w:hyperlink r:id="rId2">
        <w:r>
          <w:rPr>
            <w:color w:val="1155CC"/>
            <w:sz w:val="20"/>
            <w:szCs w:val="20"/>
            <w:u w:val="single"/>
          </w:rPr>
          <w:t xml:space="preserve">Momentum, Seasonality and Correlation in </w:t>
        </w:r>
        <w:proofErr w:type="spellStart"/>
        <w:r>
          <w:rPr>
            <w:color w:val="1155CC"/>
            <w:sz w:val="20"/>
            <w:szCs w:val="20"/>
            <w:u w:val="single"/>
          </w:rPr>
          <w:t>GameChanger</w:t>
        </w:r>
        <w:proofErr w:type="spellEnd"/>
        <w:r>
          <w:rPr>
            <w:color w:val="1155CC"/>
            <w:sz w:val="20"/>
            <w:szCs w:val="20"/>
            <w:u w:val="single"/>
          </w:rPr>
          <w:t xml:space="preserve"> Stocks 2004-2017</w:t>
        </w:r>
      </w:hyperlink>
    </w:p>
    <w:p w14:paraId="33C4E32C" w14:textId="77777777" w:rsidR="00971E84" w:rsidRDefault="00971E84">
      <w:pPr>
        <w:spacing w:line="240" w:lineRule="auto"/>
        <w:rPr>
          <w:sz w:val="20"/>
          <w:szCs w:val="20"/>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C09A6" w14:textId="77777777" w:rsidR="00C206A3" w:rsidRDefault="00C206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E125D" w14:textId="410155DC" w:rsidR="00971E84" w:rsidRDefault="008878FA">
    <w:pPr>
      <w:pBdr>
        <w:top w:val="nil"/>
        <w:left w:val="nil"/>
        <w:bottom w:val="nil"/>
        <w:right w:val="nil"/>
        <w:between w:val="nil"/>
      </w:pBdr>
    </w:pPr>
    <w:r>
      <w:t>Percentile Channel vs. Sharpe Ratio Momentum</w:t>
    </w:r>
    <w:r>
      <w:tab/>
      <w:t xml:space="preserve"> </w:t>
    </w:r>
    <w:r>
      <w:tab/>
    </w:r>
    <w:r>
      <w:tab/>
      <w:t xml:space="preserve">  by </w:t>
    </w:r>
    <w:r w:rsidR="00C206A3">
      <w:t>Dr. George Antal</w:t>
    </w:r>
    <w:r>
      <w:t xml:space="preserve">, 3DClick Ltd. </w:t>
    </w:r>
    <w:r>
      <w:tab/>
    </w:r>
    <w:r>
      <w:tab/>
    </w:r>
    <w:r>
      <w:tab/>
    </w:r>
    <w:r>
      <w:tab/>
      <w:t xml:space="preserve"> 202</w:t>
    </w:r>
    <w:r w:rsidR="00C206A3">
      <w:t>2</w:t>
    </w:r>
    <w:r>
      <w:t>-</w:t>
    </w:r>
    <w:r w:rsidR="00C206A3">
      <w:t>05</w:t>
    </w:r>
    <w:r>
      <w:t>-22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291A0" w14:textId="77777777" w:rsidR="00C206A3" w:rsidRDefault="00C206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62910"/>
    <w:multiLevelType w:val="multilevel"/>
    <w:tmpl w:val="00B0C2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0B7737F"/>
    <w:multiLevelType w:val="multilevel"/>
    <w:tmpl w:val="38BA90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8834666"/>
    <w:multiLevelType w:val="multilevel"/>
    <w:tmpl w:val="02D4DB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86B64FF"/>
    <w:multiLevelType w:val="multilevel"/>
    <w:tmpl w:val="BC5831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9F72C95"/>
    <w:multiLevelType w:val="multilevel"/>
    <w:tmpl w:val="0BEA7C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isplayBackgroundShape/>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1E84"/>
    <w:rsid w:val="005914B1"/>
    <w:rsid w:val="008878FA"/>
    <w:rsid w:val="00971E84"/>
    <w:rsid w:val="00C206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636E62"/>
  <w15:docId w15:val="{FDF9F5DA-2487-4B3D-AAB5-69548FFA25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00"/>
      <w:outlineLvl w:val="0"/>
    </w:pPr>
    <w:rPr>
      <w:rFonts w:ascii="Trebuchet MS" w:eastAsia="Trebuchet MS" w:hAnsi="Trebuchet MS" w:cs="Trebuchet MS"/>
      <w:sz w:val="32"/>
      <w:szCs w:val="32"/>
    </w:rPr>
  </w:style>
  <w:style w:type="paragraph" w:styleId="Heading2">
    <w:name w:val="heading 2"/>
    <w:basedOn w:val="Normal"/>
    <w:next w:val="Normal"/>
    <w:uiPriority w:val="9"/>
    <w:semiHidden/>
    <w:unhideWhenUsed/>
    <w:qFormat/>
    <w:pPr>
      <w:keepNext/>
      <w:keepLines/>
      <w:spacing w:before="200"/>
      <w:outlineLvl w:val="1"/>
    </w:pPr>
    <w:rPr>
      <w:rFonts w:ascii="Trebuchet MS" w:eastAsia="Trebuchet MS" w:hAnsi="Trebuchet MS" w:cs="Trebuchet MS"/>
      <w:b/>
      <w:sz w:val="26"/>
      <w:szCs w:val="26"/>
    </w:rPr>
  </w:style>
  <w:style w:type="paragraph" w:styleId="Heading3">
    <w:name w:val="heading 3"/>
    <w:basedOn w:val="Normal"/>
    <w:next w:val="Normal"/>
    <w:uiPriority w:val="9"/>
    <w:semiHidden/>
    <w:unhideWhenUsed/>
    <w:qFormat/>
    <w:pPr>
      <w:keepNext/>
      <w:keepLines/>
      <w:spacing w:before="160"/>
      <w:outlineLvl w:val="2"/>
    </w:pPr>
    <w:rPr>
      <w:rFonts w:ascii="Trebuchet MS" w:eastAsia="Trebuchet MS" w:hAnsi="Trebuchet MS" w:cs="Trebuchet MS"/>
      <w:b/>
      <w:color w:val="666666"/>
      <w:sz w:val="24"/>
      <w:szCs w:val="24"/>
    </w:rPr>
  </w:style>
  <w:style w:type="paragraph" w:styleId="Heading4">
    <w:name w:val="heading 4"/>
    <w:basedOn w:val="Normal"/>
    <w:next w:val="Normal"/>
    <w:uiPriority w:val="9"/>
    <w:semiHidden/>
    <w:unhideWhenUsed/>
    <w:qFormat/>
    <w:pPr>
      <w:keepNext/>
      <w:keepLines/>
      <w:spacing w:before="160"/>
      <w:outlineLvl w:val="3"/>
    </w:pPr>
    <w:rPr>
      <w:rFonts w:ascii="Trebuchet MS" w:eastAsia="Trebuchet MS" w:hAnsi="Trebuchet MS" w:cs="Trebuchet MS"/>
      <w:color w:val="666666"/>
      <w:u w:val="single"/>
    </w:rPr>
  </w:style>
  <w:style w:type="paragraph" w:styleId="Heading5">
    <w:name w:val="heading 5"/>
    <w:basedOn w:val="Normal"/>
    <w:next w:val="Normal"/>
    <w:uiPriority w:val="9"/>
    <w:semiHidden/>
    <w:unhideWhenUsed/>
    <w:qFormat/>
    <w:pPr>
      <w:keepNext/>
      <w:keepLines/>
      <w:spacing w:before="160"/>
      <w:outlineLvl w:val="4"/>
    </w:pPr>
    <w:rPr>
      <w:rFonts w:ascii="Trebuchet MS" w:eastAsia="Trebuchet MS" w:hAnsi="Trebuchet MS" w:cs="Trebuchet MS"/>
      <w:color w:val="666666"/>
    </w:rPr>
  </w:style>
  <w:style w:type="paragraph" w:styleId="Heading6">
    <w:name w:val="heading 6"/>
    <w:basedOn w:val="Normal"/>
    <w:next w:val="Normal"/>
    <w:uiPriority w:val="9"/>
    <w:semiHidden/>
    <w:unhideWhenUsed/>
    <w:qFormat/>
    <w:pPr>
      <w:keepNext/>
      <w:keepLines/>
      <w:spacing w:before="160"/>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Pr>
    <w:rPr>
      <w:rFonts w:ascii="Trebuchet MS" w:eastAsia="Trebuchet MS" w:hAnsi="Trebuchet MS" w:cs="Trebuchet MS"/>
      <w:sz w:val="42"/>
      <w:szCs w:val="42"/>
    </w:rPr>
  </w:style>
  <w:style w:type="paragraph" w:styleId="Subtitle">
    <w:name w:val="Subtitle"/>
    <w:basedOn w:val="Normal"/>
    <w:next w:val="Normal"/>
    <w:uiPriority w:val="11"/>
    <w:qFormat/>
    <w:pPr>
      <w:keepNext/>
      <w:keepLines/>
      <w:spacing w:after="200"/>
    </w:pPr>
    <w:rPr>
      <w:rFonts w:ascii="Trebuchet MS" w:eastAsia="Trebuchet MS" w:hAnsi="Trebuchet MS" w:cs="Trebuchet MS"/>
      <w:i/>
      <w:color w:val="666666"/>
      <w:sz w:val="26"/>
      <w:szCs w:val="26"/>
    </w:rPr>
  </w:style>
  <w:style w:type="paragraph" w:styleId="Header">
    <w:name w:val="header"/>
    <w:basedOn w:val="Normal"/>
    <w:link w:val="HeaderChar"/>
    <w:uiPriority w:val="99"/>
    <w:unhideWhenUsed/>
    <w:rsid w:val="00C206A3"/>
    <w:pPr>
      <w:tabs>
        <w:tab w:val="center" w:pos="4513"/>
        <w:tab w:val="right" w:pos="9026"/>
      </w:tabs>
      <w:spacing w:line="240" w:lineRule="auto"/>
    </w:pPr>
  </w:style>
  <w:style w:type="character" w:customStyle="1" w:styleId="HeaderChar">
    <w:name w:val="Header Char"/>
    <w:basedOn w:val="DefaultParagraphFont"/>
    <w:link w:val="Header"/>
    <w:uiPriority w:val="99"/>
    <w:rsid w:val="00C206A3"/>
  </w:style>
  <w:style w:type="paragraph" w:styleId="Footer">
    <w:name w:val="footer"/>
    <w:basedOn w:val="Normal"/>
    <w:link w:val="FooterChar"/>
    <w:uiPriority w:val="99"/>
    <w:unhideWhenUsed/>
    <w:rsid w:val="00C206A3"/>
    <w:pPr>
      <w:tabs>
        <w:tab w:val="center" w:pos="4513"/>
        <w:tab w:val="right" w:pos="9026"/>
      </w:tabs>
      <w:spacing w:line="240" w:lineRule="auto"/>
    </w:pPr>
  </w:style>
  <w:style w:type="character" w:customStyle="1" w:styleId="FooterChar">
    <w:name w:val="Footer Char"/>
    <w:basedOn w:val="DefaultParagraphFont"/>
    <w:link w:val="Footer"/>
    <w:uiPriority w:val="99"/>
    <w:rsid w:val="00C206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08214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docs.google.com/spreadsheets/d/13LV6nzfvmQAM2QtPa29FMbdZDv0p-WDw/"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2" Type="http://schemas.openxmlformats.org/officeDocument/2006/relationships/hyperlink" Target="https://docs.google.com/document/d/1cf02Vu2o6Psul7ywenQThOHO8uPAQQWjvTYS4EW04gk" TargetMode="External"/><Relationship Id="rId1" Type="http://schemas.openxmlformats.org/officeDocument/2006/relationships/hyperlink" Target="https://cssanalytics.wordpress.com/2015/01/26/a-simple-tactical-asset-allocation-portfolio-with-percentile-channe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695</Words>
  <Characters>3965</Characters>
  <Application>Microsoft Office Word</Application>
  <DocSecurity>0</DocSecurity>
  <Lines>33</Lines>
  <Paragraphs>9</Paragraphs>
  <ScaleCrop>false</ScaleCrop>
  <Company/>
  <LinksUpToDate>false</LinksUpToDate>
  <CharactersWithSpaces>4651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George Dr.</cp:lastModifiedBy>
  <cp:revision>3</cp:revision>
  <dcterms:created xsi:type="dcterms:W3CDTF">2024-02-26T21:31:00Z</dcterms:created>
  <dcterms:modified xsi:type="dcterms:W3CDTF">2024-02-26T21:32:00Z</dcterms:modified>
</cp:coreProperties>
</file>