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7C77C6C" w14:textId="77777777" w:rsidR="0017148F" w:rsidRDefault="0017148F" w:rsidP="0017148F">
      <w:pPr>
        <w:jc w:val="center"/>
      </w:pPr>
      <w:bookmarkStart w:id="0" w:name="_b1y0q5med62k" w:colFirst="0" w:colLast="0"/>
      <w:bookmarkEnd w:id="0"/>
      <w:r>
        <w:t>Dr. George Antal</w:t>
      </w:r>
    </w:p>
    <w:p w14:paraId="0AFCDD08" w14:textId="77777777" w:rsidR="0017148F" w:rsidRDefault="0017148F" w:rsidP="0017148F">
      <w:pPr>
        <w:jc w:val="center"/>
      </w:pPr>
      <w:r>
        <w:t>3D Click Limited</w:t>
      </w:r>
    </w:p>
    <w:p w14:paraId="21B82C50" w14:textId="77777777" w:rsidR="0017148F" w:rsidRDefault="0017148F" w:rsidP="0017148F">
      <w:pPr>
        <w:jc w:val="center"/>
      </w:pPr>
      <w:r>
        <w:t>c/o Suite 431, 28 Old Brompton Road, London SW7 3SS</w:t>
      </w:r>
      <w:r>
        <w:br/>
      </w:r>
    </w:p>
    <w:p w14:paraId="2552D799" w14:textId="6B2BB0EE" w:rsidR="00D22602" w:rsidRDefault="00026AB4">
      <w:pPr>
        <w:pStyle w:val="Title"/>
        <w:spacing w:after="1600"/>
        <w:jc w:val="center"/>
        <w:rPr>
          <w:color w:val="6D9EEB"/>
          <w:sz w:val="32"/>
          <w:szCs w:val="32"/>
        </w:rPr>
      </w:pPr>
      <w:r>
        <w:rPr>
          <w:b/>
          <w:color w:val="0000FF"/>
        </w:rPr>
        <w:t xml:space="preserve">Performance analysis of </w:t>
      </w:r>
      <w:proofErr w:type="spellStart"/>
      <w:r>
        <w:rPr>
          <w:b/>
          <w:color w:val="0000FF"/>
        </w:rPr>
        <w:t>Luby's</w:t>
      </w:r>
      <w:proofErr w:type="spellEnd"/>
      <w:r>
        <w:rPr>
          <w:b/>
          <w:color w:val="0000FF"/>
        </w:rPr>
        <w:t xml:space="preserve"> Featured ETP Trade Ideas Strategy</w:t>
      </w:r>
    </w:p>
    <w:sdt>
      <w:sdtPr>
        <w:id w:val="-1675108652"/>
        <w:docPartObj>
          <w:docPartGallery w:val="Table of Contents"/>
          <w:docPartUnique/>
        </w:docPartObj>
      </w:sdtPr>
      <w:sdtEndPr/>
      <w:sdtContent>
        <w:p w14:paraId="7625E14B" w14:textId="77777777" w:rsidR="00D22602" w:rsidRDefault="00026AB4">
          <w:pPr>
            <w:tabs>
              <w:tab w:val="right" w:pos="11106"/>
            </w:tabs>
            <w:spacing w:before="80" w:line="240" w:lineRule="auto"/>
            <w:rPr>
              <w:b/>
              <w:color w:val="0000FF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x1jm56foy96k">
            <w:r>
              <w:rPr>
                <w:b/>
                <w:color w:val="0000FF"/>
              </w:rPr>
              <w:t>Motivation</w:t>
            </w:r>
          </w:hyperlink>
          <w:r>
            <w:rPr>
              <w:b/>
              <w:color w:val="0000FF"/>
            </w:rPr>
            <w:tab/>
          </w:r>
          <w:r>
            <w:fldChar w:fldCharType="begin"/>
          </w:r>
          <w:r>
            <w:instrText xml:space="preserve"> PAGEREF _x1jm56foy96k \h </w:instrText>
          </w:r>
          <w:r>
            <w:fldChar w:fldCharType="separate"/>
          </w:r>
          <w:r>
            <w:rPr>
              <w:b/>
              <w:color w:val="0000FF"/>
            </w:rPr>
            <w:t>1</w:t>
          </w:r>
          <w:r>
            <w:fldChar w:fldCharType="end"/>
          </w:r>
        </w:p>
        <w:p w14:paraId="2640FCD9" w14:textId="77777777" w:rsidR="00D22602" w:rsidRDefault="00026AB4">
          <w:pPr>
            <w:tabs>
              <w:tab w:val="right" w:pos="11106"/>
            </w:tabs>
            <w:spacing w:before="200" w:line="240" w:lineRule="auto"/>
            <w:rPr>
              <w:b/>
              <w:color w:val="0000FF"/>
            </w:rPr>
          </w:pPr>
          <w:hyperlink w:anchor="_1m6dsqs9ce3">
            <w:r>
              <w:rPr>
                <w:b/>
                <w:color w:val="0000FF"/>
              </w:rPr>
              <w:t>Background</w:t>
            </w:r>
          </w:hyperlink>
          <w:r>
            <w:rPr>
              <w:b/>
              <w:color w:val="0000FF"/>
            </w:rPr>
            <w:tab/>
          </w:r>
          <w:r>
            <w:fldChar w:fldCharType="begin"/>
          </w:r>
          <w:r>
            <w:instrText xml:space="preserve"> PAGEREF _1m6dsqs9ce3 \h </w:instrText>
          </w:r>
          <w:r>
            <w:fldChar w:fldCharType="separate"/>
          </w:r>
          <w:r>
            <w:rPr>
              <w:b/>
              <w:color w:val="0000FF"/>
            </w:rPr>
            <w:t>2</w:t>
          </w:r>
          <w:r>
            <w:fldChar w:fldCharType="end"/>
          </w:r>
        </w:p>
        <w:p w14:paraId="2630DB63" w14:textId="77777777" w:rsidR="00D22602" w:rsidRDefault="00026AB4">
          <w:pPr>
            <w:tabs>
              <w:tab w:val="right" w:pos="11106"/>
            </w:tabs>
            <w:spacing w:before="60" w:line="240" w:lineRule="auto"/>
            <w:ind w:left="360"/>
            <w:rPr>
              <w:color w:val="0000FF"/>
            </w:rPr>
          </w:pPr>
          <w:hyperlink w:anchor="_nvss1qwq9ntj">
            <w:r>
              <w:rPr>
                <w:color w:val="0000FF"/>
              </w:rPr>
              <w:t>Featured ETP Tra</w:t>
            </w:r>
            <w:r>
              <w:rPr>
                <w:color w:val="0000FF"/>
              </w:rPr>
              <w:t>de Ideas</w:t>
            </w:r>
          </w:hyperlink>
          <w:r>
            <w:rPr>
              <w:color w:val="0000FF"/>
            </w:rPr>
            <w:tab/>
          </w:r>
          <w:r>
            <w:fldChar w:fldCharType="begin"/>
          </w:r>
          <w:r>
            <w:instrText xml:space="preserve"> PAGEREF _nvss1qwq9ntj \h </w:instrText>
          </w:r>
          <w:r>
            <w:fldChar w:fldCharType="separate"/>
          </w:r>
          <w:r>
            <w:rPr>
              <w:color w:val="0000FF"/>
            </w:rPr>
            <w:t>2</w:t>
          </w:r>
          <w:r>
            <w:fldChar w:fldCharType="end"/>
          </w:r>
        </w:p>
        <w:p w14:paraId="3B5D348A" w14:textId="77777777" w:rsidR="00D22602" w:rsidRDefault="00026AB4">
          <w:pPr>
            <w:tabs>
              <w:tab w:val="right" w:pos="11106"/>
            </w:tabs>
            <w:spacing w:before="60" w:line="240" w:lineRule="auto"/>
            <w:ind w:left="360"/>
            <w:rPr>
              <w:color w:val="0000FF"/>
            </w:rPr>
          </w:pPr>
          <w:hyperlink w:anchor="_i2neyjo7dmbb">
            <w:r>
              <w:rPr>
                <w:color w:val="0000FF"/>
              </w:rPr>
              <w:t>ETP Categories</w:t>
            </w:r>
          </w:hyperlink>
          <w:r>
            <w:rPr>
              <w:color w:val="0000FF"/>
            </w:rPr>
            <w:tab/>
          </w:r>
          <w:r>
            <w:fldChar w:fldCharType="begin"/>
          </w:r>
          <w:r>
            <w:instrText xml:space="preserve"> PAGEREF _i2neyjo7dmbb \h </w:instrText>
          </w:r>
          <w:r>
            <w:fldChar w:fldCharType="separate"/>
          </w:r>
          <w:r>
            <w:rPr>
              <w:color w:val="0000FF"/>
            </w:rPr>
            <w:t>3</w:t>
          </w:r>
          <w:r>
            <w:fldChar w:fldCharType="end"/>
          </w:r>
        </w:p>
        <w:p w14:paraId="01B5683B" w14:textId="77777777" w:rsidR="00D22602" w:rsidRDefault="00026AB4">
          <w:pPr>
            <w:tabs>
              <w:tab w:val="right" w:pos="11106"/>
            </w:tabs>
            <w:spacing w:before="200" w:line="240" w:lineRule="auto"/>
            <w:rPr>
              <w:b/>
              <w:color w:val="0000FF"/>
            </w:rPr>
          </w:pPr>
          <w:hyperlink w:anchor="_v9ormr3ftgcn">
            <w:r>
              <w:rPr>
                <w:b/>
                <w:color w:val="0000FF"/>
              </w:rPr>
              <w:t>Results</w:t>
            </w:r>
          </w:hyperlink>
          <w:r>
            <w:rPr>
              <w:b/>
              <w:color w:val="0000FF"/>
            </w:rPr>
            <w:tab/>
          </w:r>
          <w:r>
            <w:fldChar w:fldCharType="begin"/>
          </w:r>
          <w:r>
            <w:instrText xml:space="preserve"> PAGEREF _v9ormr3ftgcn \h </w:instrText>
          </w:r>
          <w:r>
            <w:fldChar w:fldCharType="separate"/>
          </w:r>
          <w:r>
            <w:rPr>
              <w:b/>
              <w:color w:val="0000FF"/>
            </w:rPr>
            <w:t>8</w:t>
          </w:r>
          <w:r>
            <w:fldChar w:fldCharType="end"/>
          </w:r>
        </w:p>
        <w:p w14:paraId="276C4799" w14:textId="77777777" w:rsidR="00D22602" w:rsidRDefault="00026AB4">
          <w:pPr>
            <w:tabs>
              <w:tab w:val="right" w:pos="11106"/>
            </w:tabs>
            <w:spacing w:before="60" w:line="240" w:lineRule="auto"/>
            <w:ind w:left="360"/>
            <w:rPr>
              <w:color w:val="0000FF"/>
            </w:rPr>
          </w:pPr>
          <w:hyperlink w:anchor="_ab0ypn5cc3xd">
            <w:r>
              <w:rPr>
                <w:color w:val="0000FF"/>
              </w:rPr>
              <w:t>Our backtests</w:t>
            </w:r>
          </w:hyperlink>
          <w:r>
            <w:rPr>
              <w:color w:val="0000FF"/>
            </w:rPr>
            <w:tab/>
          </w:r>
          <w:r>
            <w:fldChar w:fldCharType="begin"/>
          </w:r>
          <w:r>
            <w:instrText xml:space="preserve"> PAGEREF _ab0ypn5cc3xd \h </w:instrText>
          </w:r>
          <w:r>
            <w:fldChar w:fldCharType="separate"/>
          </w:r>
          <w:r>
            <w:rPr>
              <w:color w:val="0000FF"/>
            </w:rPr>
            <w:t>8</w:t>
          </w:r>
          <w:r>
            <w:fldChar w:fldCharType="end"/>
          </w:r>
        </w:p>
        <w:p w14:paraId="000379DA" w14:textId="77777777" w:rsidR="00D22602" w:rsidRDefault="00026AB4">
          <w:pPr>
            <w:tabs>
              <w:tab w:val="right" w:pos="11106"/>
            </w:tabs>
            <w:spacing w:before="60" w:line="240" w:lineRule="auto"/>
            <w:ind w:left="360"/>
            <w:rPr>
              <w:color w:val="0000FF"/>
            </w:rPr>
          </w:pPr>
          <w:hyperlink w:anchor="_xcprvw88aud3">
            <w:r>
              <w:rPr>
                <w:color w:val="0000FF"/>
              </w:rPr>
              <w:t>Profitabi</w:t>
            </w:r>
            <w:r>
              <w:rPr>
                <w:color w:val="0000FF"/>
              </w:rPr>
              <w:t>lity of ETP Categories</w:t>
            </w:r>
          </w:hyperlink>
          <w:r>
            <w:rPr>
              <w:color w:val="0000FF"/>
            </w:rPr>
            <w:tab/>
          </w:r>
          <w:r>
            <w:fldChar w:fldCharType="begin"/>
          </w:r>
          <w:r>
            <w:instrText xml:space="preserve"> PAGEREF _xcprvw88aud3 \h </w:instrText>
          </w:r>
          <w:r>
            <w:fldChar w:fldCharType="separate"/>
          </w:r>
          <w:r>
            <w:rPr>
              <w:color w:val="0000FF"/>
            </w:rPr>
            <w:t>12</w:t>
          </w:r>
          <w:r>
            <w:fldChar w:fldCharType="end"/>
          </w:r>
        </w:p>
        <w:p w14:paraId="20664C55" w14:textId="77777777" w:rsidR="00D22602" w:rsidRDefault="00026AB4">
          <w:pPr>
            <w:tabs>
              <w:tab w:val="right" w:pos="11106"/>
            </w:tabs>
            <w:spacing w:before="60" w:line="240" w:lineRule="auto"/>
            <w:ind w:left="360"/>
            <w:rPr>
              <w:color w:val="0000FF"/>
            </w:rPr>
          </w:pPr>
          <w:hyperlink w:anchor="_a73i51r4xbgp">
            <w:r>
              <w:rPr>
                <w:color w:val="0000FF"/>
              </w:rPr>
              <w:t>Best and Worst Performing ETPs</w:t>
            </w:r>
          </w:hyperlink>
          <w:r>
            <w:rPr>
              <w:color w:val="0000FF"/>
            </w:rPr>
            <w:tab/>
          </w:r>
          <w:r>
            <w:fldChar w:fldCharType="begin"/>
          </w:r>
          <w:r>
            <w:instrText xml:space="preserve"> PAGEREF _a73i51r4xbgp \h </w:instrText>
          </w:r>
          <w:r>
            <w:fldChar w:fldCharType="separate"/>
          </w:r>
          <w:r>
            <w:rPr>
              <w:color w:val="0000FF"/>
            </w:rPr>
            <w:t>20</w:t>
          </w:r>
          <w:r>
            <w:fldChar w:fldCharType="end"/>
          </w:r>
        </w:p>
        <w:p w14:paraId="0F8B0BD6" w14:textId="77777777" w:rsidR="00D22602" w:rsidRDefault="00026AB4">
          <w:pPr>
            <w:tabs>
              <w:tab w:val="right" w:pos="11106"/>
            </w:tabs>
            <w:spacing w:before="60" w:line="240" w:lineRule="auto"/>
            <w:ind w:left="360"/>
            <w:rPr>
              <w:color w:val="0000FF"/>
            </w:rPr>
          </w:pPr>
          <w:hyperlink w:anchor="_srlynkwqysqg">
            <w:r>
              <w:rPr>
                <w:color w:val="0000FF"/>
              </w:rPr>
              <w:t>Best and Worst Recommendations</w:t>
            </w:r>
          </w:hyperlink>
          <w:r>
            <w:rPr>
              <w:color w:val="0000FF"/>
            </w:rPr>
            <w:tab/>
          </w:r>
          <w:r>
            <w:fldChar w:fldCharType="begin"/>
          </w:r>
          <w:r>
            <w:instrText xml:space="preserve"> PAGEREF _srlynkwqysqg \h </w:instrText>
          </w:r>
          <w:r>
            <w:fldChar w:fldCharType="separate"/>
          </w:r>
          <w:r>
            <w:rPr>
              <w:color w:val="0000FF"/>
            </w:rPr>
            <w:t>25</w:t>
          </w:r>
          <w:r>
            <w:fldChar w:fldCharType="end"/>
          </w:r>
        </w:p>
        <w:p w14:paraId="6451BF75" w14:textId="77777777" w:rsidR="00D22602" w:rsidRDefault="00026AB4">
          <w:pPr>
            <w:tabs>
              <w:tab w:val="right" w:pos="11106"/>
            </w:tabs>
            <w:spacing w:before="200" w:after="80" w:line="240" w:lineRule="auto"/>
            <w:rPr>
              <w:b/>
              <w:color w:val="0000FF"/>
            </w:rPr>
          </w:pPr>
          <w:hyperlink w:anchor="_p9ljmkh5rh3f">
            <w:r>
              <w:rPr>
                <w:b/>
                <w:color w:val="0000FF"/>
              </w:rPr>
              <w:t>Conclusions</w:t>
            </w:r>
          </w:hyperlink>
          <w:r>
            <w:rPr>
              <w:b/>
              <w:color w:val="0000FF"/>
            </w:rPr>
            <w:tab/>
          </w:r>
          <w:r>
            <w:fldChar w:fldCharType="begin"/>
          </w:r>
          <w:r>
            <w:instrText xml:space="preserve"> PAGEREF _p9ljmkh</w:instrText>
          </w:r>
          <w:r>
            <w:instrText xml:space="preserve">5rh3f \h </w:instrText>
          </w:r>
          <w:r>
            <w:fldChar w:fldCharType="separate"/>
          </w:r>
          <w:r>
            <w:rPr>
              <w:b/>
              <w:color w:val="0000FF"/>
            </w:rPr>
            <w:t>39</w:t>
          </w:r>
          <w:r>
            <w:fldChar w:fldCharType="end"/>
          </w:r>
          <w:r>
            <w:fldChar w:fldCharType="end"/>
          </w:r>
        </w:p>
      </w:sdtContent>
    </w:sdt>
    <w:p w14:paraId="2F2AE23B" w14:textId="77777777" w:rsidR="00D22602" w:rsidRDefault="00026AB4">
      <w:pPr>
        <w:pStyle w:val="Heading1"/>
        <w:pBdr>
          <w:top w:val="nil"/>
          <w:left w:val="nil"/>
          <w:bottom w:val="nil"/>
          <w:right w:val="nil"/>
          <w:between w:val="nil"/>
        </w:pBdr>
        <w:spacing w:before="2000" w:line="268" w:lineRule="auto"/>
        <w:rPr>
          <w:b/>
          <w:color w:val="38761D"/>
        </w:rPr>
      </w:pPr>
      <w:bookmarkStart w:id="1" w:name="_x1jm56foy96k" w:colFirst="0" w:colLast="0"/>
      <w:bookmarkEnd w:id="1"/>
      <w:r>
        <w:rPr>
          <w:b/>
          <w:color w:val="38761D"/>
        </w:rPr>
        <w:t>Motivation</w:t>
      </w:r>
    </w:p>
    <w:p w14:paraId="1B35B0D3" w14:textId="77777777" w:rsidR="00D22602" w:rsidRDefault="00D22602">
      <w:pPr>
        <w:jc w:val="both"/>
        <w:rPr>
          <w:sz w:val="28"/>
          <w:szCs w:val="28"/>
        </w:rPr>
      </w:pPr>
    </w:p>
    <w:p w14:paraId="75CD5BC0" w14:textId="77777777" w:rsidR="00D22602" w:rsidRDefault="00026AB4">
      <w:pPr>
        <w:jc w:val="both"/>
      </w:pPr>
      <w:r>
        <w:t xml:space="preserve">At the end of June 2019, </w:t>
      </w:r>
      <w:r>
        <w:rPr>
          <w:b/>
        </w:rPr>
        <w:t xml:space="preserve">Bill </w:t>
      </w:r>
      <w:proofErr w:type="spellStart"/>
      <w:r>
        <w:rPr>
          <w:b/>
        </w:rPr>
        <w:t>Luby</w:t>
      </w:r>
      <w:proofErr w:type="spellEnd"/>
      <w:r>
        <w:t xml:space="preserve"> expanded his weekly newsletter with a ‘</w:t>
      </w:r>
      <w:r>
        <w:rPr>
          <w:b/>
        </w:rPr>
        <w:t>Featured ETP Trade Ideas</w:t>
      </w:r>
      <w:r>
        <w:t xml:space="preserve">’ section. </w:t>
      </w:r>
      <w:proofErr w:type="gramStart"/>
      <w:r>
        <w:t>It  recommends</w:t>
      </w:r>
      <w:proofErr w:type="gramEnd"/>
      <w:r>
        <w:t xml:space="preserve"> three ETPs every week. Since we have been closely following </w:t>
      </w:r>
      <w:proofErr w:type="spellStart"/>
      <w:r>
        <w:t>Luby's</w:t>
      </w:r>
      <w:proofErr w:type="spellEnd"/>
      <w:r>
        <w:t xml:space="preserve"> work for a long time, we </w:t>
      </w:r>
      <w:r>
        <w:rPr>
          <w:b/>
        </w:rPr>
        <w:t>launched a strategy based on this section at the end of 2019</w:t>
      </w:r>
      <w:r>
        <w:t xml:space="preserve">. In this study, we examine the </w:t>
      </w:r>
      <w:r>
        <w:rPr>
          <w:b/>
        </w:rPr>
        <w:t>success, playability, and reality of the recom</w:t>
      </w:r>
      <w:r>
        <w:rPr>
          <w:b/>
        </w:rPr>
        <w:t>mendations</w:t>
      </w:r>
      <w:r>
        <w:t xml:space="preserve"> based on the </w:t>
      </w:r>
      <w:r>
        <w:rPr>
          <w:b/>
        </w:rPr>
        <w:t>data of the last 3 and a half years</w:t>
      </w:r>
      <w:r>
        <w:t xml:space="preserve">. Are </w:t>
      </w:r>
      <w:proofErr w:type="spellStart"/>
      <w:r>
        <w:rPr>
          <w:b/>
        </w:rPr>
        <w:t>Luby's</w:t>
      </w:r>
      <w:proofErr w:type="spellEnd"/>
      <w:r>
        <w:rPr>
          <w:b/>
        </w:rPr>
        <w:t xml:space="preserve"> published profits real</w:t>
      </w:r>
      <w:r>
        <w:t xml:space="preserve">? </w:t>
      </w:r>
      <w:r>
        <w:rPr>
          <w:b/>
        </w:rPr>
        <w:t>How much is due to volatility ETPs</w:t>
      </w:r>
      <w:r>
        <w:t xml:space="preserve">? We also want to find answers to the questions of </w:t>
      </w:r>
      <w:r>
        <w:rPr>
          <w:b/>
        </w:rPr>
        <w:t>which holding period (1, 2, 3 or 4 weeks) is the most profitable</w:t>
      </w:r>
      <w:r>
        <w:t xml:space="preserve"> and </w:t>
      </w:r>
      <w:r>
        <w:rPr>
          <w:b/>
        </w:rPr>
        <w:t xml:space="preserve">which </w:t>
      </w:r>
      <w:r>
        <w:rPr>
          <w:b/>
        </w:rPr>
        <w:t>ETP categories have brought the biggest profits so far</w:t>
      </w:r>
      <w:r>
        <w:t xml:space="preserve">. </w:t>
      </w:r>
    </w:p>
    <w:p w14:paraId="6245D16E" w14:textId="77777777" w:rsidR="00D22602" w:rsidRDefault="00026AB4">
      <w:pPr>
        <w:pStyle w:val="Heading1"/>
        <w:spacing w:before="0" w:line="268" w:lineRule="auto"/>
        <w:rPr>
          <w:b/>
          <w:color w:val="38761D"/>
        </w:rPr>
      </w:pPr>
      <w:bookmarkStart w:id="2" w:name="_8lup44h66ibq" w:colFirst="0" w:colLast="0"/>
      <w:bookmarkEnd w:id="2"/>
      <w:r>
        <w:br w:type="page"/>
      </w:r>
    </w:p>
    <w:p w14:paraId="2B804C64" w14:textId="77777777" w:rsidR="00D22602" w:rsidRDefault="00026AB4">
      <w:pPr>
        <w:pStyle w:val="Heading1"/>
        <w:spacing w:before="0" w:line="268" w:lineRule="auto"/>
        <w:rPr>
          <w:b/>
          <w:color w:val="38761D"/>
        </w:rPr>
      </w:pPr>
      <w:bookmarkStart w:id="3" w:name="_1m6dsqs9ce3" w:colFirst="0" w:colLast="0"/>
      <w:bookmarkEnd w:id="3"/>
      <w:r>
        <w:rPr>
          <w:b/>
          <w:color w:val="38761D"/>
        </w:rPr>
        <w:lastRenderedPageBreak/>
        <w:t>Background</w:t>
      </w:r>
    </w:p>
    <w:p w14:paraId="73FF7397" w14:textId="77777777" w:rsidR="00D22602" w:rsidRDefault="00026AB4">
      <w:pPr>
        <w:pStyle w:val="Heading2"/>
        <w:jc w:val="both"/>
        <w:rPr>
          <w:color w:val="0000FF"/>
        </w:rPr>
      </w:pPr>
      <w:bookmarkStart w:id="4" w:name="_nvss1qwq9ntj" w:colFirst="0" w:colLast="0"/>
      <w:bookmarkEnd w:id="4"/>
      <w:r>
        <w:rPr>
          <w:color w:val="0000FF"/>
        </w:rPr>
        <w:t>Featured ETP Trade Ideas</w:t>
      </w:r>
    </w:p>
    <w:p w14:paraId="2A024AD6" w14:textId="77777777" w:rsidR="00D22602" w:rsidRDefault="00D22602"/>
    <w:p w14:paraId="34FDCBA2" w14:textId="77777777" w:rsidR="00D22602" w:rsidRDefault="00026AB4">
      <w:pPr>
        <w:jc w:val="both"/>
      </w:pPr>
      <w:r>
        <w:t xml:space="preserve">Bill </w:t>
      </w:r>
      <w:proofErr w:type="spellStart"/>
      <w:r>
        <w:t>Luby</w:t>
      </w:r>
      <w:proofErr w:type="spellEnd"/>
      <w:r>
        <w:t xml:space="preserve"> publishes his </w:t>
      </w:r>
      <w:r>
        <w:rPr>
          <w:b/>
        </w:rPr>
        <w:t>ETP ideas weekly</w:t>
      </w:r>
      <w:r>
        <w:t xml:space="preserve"> (usually </w:t>
      </w:r>
      <w:r>
        <w:rPr>
          <w:b/>
        </w:rPr>
        <w:t>after the market closes on Wednesday</w:t>
      </w:r>
      <w:r>
        <w:t xml:space="preserve">) in his </w:t>
      </w:r>
      <w:r>
        <w:rPr>
          <w:b/>
        </w:rPr>
        <w:t>newsletter</w:t>
      </w:r>
      <w:r>
        <w:t xml:space="preserve"> or in the form of </w:t>
      </w:r>
      <w:r>
        <w:rPr>
          <w:b/>
        </w:rPr>
        <w:t>bullet points</w:t>
      </w:r>
      <w:r>
        <w:t xml:space="preserve">. When he sends out his regular newsletter to his subscribers, it includes, in addition to new ideas, </w:t>
      </w:r>
      <w:r>
        <w:rPr>
          <w:b/>
        </w:rPr>
        <w:t>the effectiveness of the ‘strategy’ calculated by him</w:t>
      </w:r>
      <w:r>
        <w:t xml:space="preserve">. In these tables, </w:t>
      </w:r>
      <w:r>
        <w:rPr>
          <w:b/>
        </w:rPr>
        <w:t>the profits of positions held over various time periods are accumulated</w:t>
      </w:r>
      <w:r>
        <w:t xml:space="preserve">. The time </w:t>
      </w:r>
      <w:r>
        <w:t xml:space="preserve">periods examined by him are </w:t>
      </w:r>
      <w:r>
        <w:rPr>
          <w:b/>
        </w:rPr>
        <w:t>1, 2, 3 or 4 weeks</w:t>
      </w:r>
      <w:r>
        <w:t xml:space="preserve">. That is, </w:t>
      </w:r>
      <w:proofErr w:type="gramStart"/>
      <w:r>
        <w:t>e.g.</w:t>
      </w:r>
      <w:proofErr w:type="gramEnd"/>
      <w:r>
        <w:t xml:space="preserve"> in the case of 3 weeks holding period, he holds 3 * 3 = 9 ETPs in his basket at the same time, thereby inducing +200% </w:t>
      </w:r>
      <w:r>
        <w:rPr>
          <w:b/>
        </w:rPr>
        <w:t>constant overleverage</w:t>
      </w:r>
      <w:r>
        <w:t xml:space="preserve"> in his ‘portfolio’. This procedure can generate somewh</w:t>
      </w:r>
      <w:r>
        <w:t xml:space="preserve">at </w:t>
      </w:r>
      <w:r>
        <w:rPr>
          <w:b/>
        </w:rPr>
        <w:t>misleading results</w:t>
      </w:r>
      <w:r>
        <w:t xml:space="preserve"> (due to the high level of overleverage), as can be seen in his tables.</w:t>
      </w:r>
    </w:p>
    <w:p w14:paraId="0779E22B" w14:textId="77777777" w:rsidR="00D22602" w:rsidRDefault="00D22602">
      <w:pPr>
        <w:jc w:val="both"/>
      </w:pPr>
    </w:p>
    <w:p w14:paraId="69E636B4" w14:textId="77777777" w:rsidR="00D22602" w:rsidRDefault="00026AB4">
      <w:pPr>
        <w:jc w:val="both"/>
      </w:pPr>
      <w:r>
        <w:t xml:space="preserve">In this study, we analysed his recommendations from </w:t>
      </w:r>
      <w:r>
        <w:rPr>
          <w:b/>
        </w:rPr>
        <w:t>2019-06-26 to 2022-11-30</w:t>
      </w:r>
      <w:r>
        <w:t>. The following result table is copied from his 2022-10-30 newsletter.</w:t>
      </w:r>
    </w:p>
    <w:p w14:paraId="3FCD823D" w14:textId="77777777" w:rsidR="00D22602" w:rsidRDefault="00D22602">
      <w:pPr>
        <w:jc w:val="both"/>
      </w:pPr>
    </w:p>
    <w:p w14:paraId="4A0A38C0" w14:textId="77777777" w:rsidR="00D22602" w:rsidRDefault="00026AB4">
      <w:pPr>
        <w:jc w:val="both"/>
      </w:pPr>
      <w:r>
        <w:rPr>
          <w:noProof/>
        </w:rPr>
        <w:drawing>
          <wp:inline distT="114300" distB="114300" distL="114300" distR="114300" wp14:anchorId="789946C4" wp14:editId="2B3CB3DB">
            <wp:extent cx="7052400" cy="812800"/>
            <wp:effectExtent l="0" t="0" r="0" b="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81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2FE862" w14:textId="77777777" w:rsidR="00D22602" w:rsidRDefault="00026AB4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114300" distB="114300" distL="114300" distR="114300" wp14:anchorId="52CCACB4" wp14:editId="110A4E8F">
            <wp:extent cx="7052400" cy="2425700"/>
            <wp:effectExtent l="0" t="0" r="0" b="0"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242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F2A7C8" w14:textId="77777777" w:rsidR="00D22602" w:rsidRDefault="00D22602">
      <w:pPr>
        <w:jc w:val="both"/>
      </w:pPr>
    </w:p>
    <w:p w14:paraId="0D1B75A2" w14:textId="77777777" w:rsidR="00D22602" w:rsidRDefault="00026AB4">
      <w:pPr>
        <w:jc w:val="both"/>
      </w:pPr>
      <w:r>
        <w:t>All his trading ideas are collected in an</w:t>
      </w:r>
      <w:r>
        <w:rPr>
          <w:b/>
        </w:rPr>
        <w:t xml:space="preserve"> online </w:t>
      </w:r>
      <w:proofErr w:type="spellStart"/>
      <w:r>
        <w:rPr>
          <w:b/>
        </w:rPr>
        <w:t>GoogleSheet</w:t>
      </w:r>
      <w:proofErr w:type="spellEnd"/>
      <w:r>
        <w:rPr>
          <w:b/>
        </w:rPr>
        <w:t>,</w:t>
      </w:r>
      <w:r>
        <w:t xml:space="preserve"> which is updated weekly:</w:t>
      </w:r>
      <w:r>
        <w:tab/>
        <w:t xml:space="preserve"> </w:t>
      </w:r>
      <w:hyperlink r:id="rId9">
        <w:proofErr w:type="spellStart"/>
        <w:r>
          <w:rPr>
            <w:color w:val="0000EE"/>
            <w:u w:val="single"/>
          </w:rPr>
          <w:t>Luby's</w:t>
        </w:r>
        <w:proofErr w:type="spellEnd"/>
        <w:r>
          <w:rPr>
            <w:color w:val="0000EE"/>
            <w:u w:val="single"/>
          </w:rPr>
          <w:t xml:space="preserve"> Featured ETP Trade Ideas </w:t>
        </w:r>
      </w:hyperlink>
    </w:p>
    <w:p w14:paraId="717C7063" w14:textId="77777777" w:rsidR="00D22602" w:rsidRDefault="00D22602">
      <w:pPr>
        <w:jc w:val="both"/>
      </w:pPr>
    </w:p>
    <w:p w14:paraId="4DF06A12" w14:textId="77777777" w:rsidR="00D22602" w:rsidRDefault="00026AB4">
      <w:pPr>
        <w:jc w:val="both"/>
      </w:pPr>
      <w:r>
        <w:t>In the ‘Result</w:t>
      </w:r>
      <w:r>
        <w:t xml:space="preserve">s’ chapter, we will thoroughly examine </w:t>
      </w:r>
      <w:r>
        <w:rPr>
          <w:b/>
        </w:rPr>
        <w:t>the real profitability of the recommendations</w:t>
      </w:r>
      <w:r>
        <w:t xml:space="preserve">. We show </w:t>
      </w:r>
      <w:r>
        <w:rPr>
          <w:b/>
        </w:rPr>
        <w:t>how to 'cheat' with numbers</w:t>
      </w:r>
      <w:r>
        <w:t xml:space="preserve"> without being noticed. We analyse the </w:t>
      </w:r>
      <w:r>
        <w:rPr>
          <w:b/>
        </w:rPr>
        <w:t>profitability of each ETP and ETP category separately</w:t>
      </w:r>
      <w:r>
        <w:t>.</w:t>
      </w:r>
    </w:p>
    <w:p w14:paraId="1B2201CB" w14:textId="77777777" w:rsidR="00D22602" w:rsidRDefault="00D22602">
      <w:pPr>
        <w:jc w:val="both"/>
      </w:pPr>
    </w:p>
    <w:p w14:paraId="02AB86A4" w14:textId="77777777" w:rsidR="00D22602" w:rsidRDefault="00026AB4">
      <w:pPr>
        <w:jc w:val="both"/>
        <w:rPr>
          <w:color w:val="0000FF"/>
        </w:rPr>
      </w:pPr>
      <w:r>
        <w:t>Before all this, let's see which ETPs we</w:t>
      </w:r>
      <w:r>
        <w:t>re recommended in the last three and a half years, and what categories they fall into.</w:t>
      </w:r>
      <w:r>
        <w:br w:type="page"/>
      </w:r>
    </w:p>
    <w:p w14:paraId="0958F668" w14:textId="77777777" w:rsidR="00D22602" w:rsidRDefault="00026AB4">
      <w:pPr>
        <w:pStyle w:val="Heading2"/>
        <w:jc w:val="both"/>
      </w:pPr>
      <w:bookmarkStart w:id="5" w:name="_i2neyjo7dmbb" w:colFirst="0" w:colLast="0"/>
      <w:bookmarkEnd w:id="5"/>
      <w:r>
        <w:rPr>
          <w:color w:val="0000FF"/>
        </w:rPr>
        <w:lastRenderedPageBreak/>
        <w:t>ETP Categories</w:t>
      </w:r>
    </w:p>
    <w:p w14:paraId="34F1A96F" w14:textId="77777777" w:rsidR="00D22602" w:rsidRDefault="00D22602">
      <w:pPr>
        <w:jc w:val="center"/>
        <w:rPr>
          <w:rFonts w:ascii="Libre Baskerville" w:eastAsia="Libre Baskerville" w:hAnsi="Libre Baskerville" w:cs="Libre Baskerville"/>
          <w:sz w:val="24"/>
          <w:szCs w:val="24"/>
        </w:rPr>
      </w:pPr>
    </w:p>
    <w:p w14:paraId="35FDD3E4" w14:textId="77777777" w:rsidR="00D22602" w:rsidRDefault="00026AB4">
      <w:pPr>
        <w:jc w:val="both"/>
        <w:rPr>
          <w:rFonts w:ascii="Libre Baskerville" w:eastAsia="Libre Baskerville" w:hAnsi="Libre Baskerville" w:cs="Libre Baskerville"/>
          <w:b/>
          <w:color w:val="134F5C"/>
          <w:sz w:val="24"/>
          <w:szCs w:val="24"/>
          <w:u w:val="single"/>
        </w:rPr>
      </w:pPr>
      <w:r>
        <w:rPr>
          <w:rFonts w:ascii="Libre Baskerville" w:eastAsia="Libre Baskerville" w:hAnsi="Libre Baskerville" w:cs="Libre Baskerville"/>
          <w:b/>
          <w:color w:val="134F5C"/>
          <w:sz w:val="24"/>
          <w:szCs w:val="24"/>
          <w:u w:val="single"/>
        </w:rPr>
        <w:t>Market-index:</w:t>
      </w:r>
    </w:p>
    <w:p w14:paraId="65B6B4D8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IWF</w:t>
      </w:r>
      <w:r>
        <w:rPr>
          <w:color w:val="222222"/>
        </w:rPr>
        <w:t xml:space="preserve"> - iShares Russell 1000 Growth ETF</w:t>
      </w:r>
    </w:p>
    <w:p w14:paraId="2D44B0EA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IWN</w:t>
      </w:r>
      <w:r>
        <w:rPr>
          <w:color w:val="222222"/>
        </w:rPr>
        <w:t xml:space="preserve"> -</w:t>
      </w:r>
      <w:r>
        <w:rPr>
          <w:b/>
          <w:color w:val="222222"/>
        </w:rPr>
        <w:t xml:space="preserve"> </w:t>
      </w:r>
      <w:r>
        <w:rPr>
          <w:color w:val="222222"/>
        </w:rPr>
        <w:t>iShares Russell 2000 Value ETF</w:t>
      </w:r>
    </w:p>
    <w:p w14:paraId="3F43D0CF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IWO</w:t>
      </w:r>
      <w:r>
        <w:rPr>
          <w:color w:val="222222"/>
        </w:rPr>
        <w:t xml:space="preserve"> - iShares Russell 2000 Growth ETF</w:t>
      </w:r>
    </w:p>
    <w:p w14:paraId="27AE59D6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PBP</w:t>
      </w:r>
      <w:r>
        <w:rPr>
          <w:color w:val="222222"/>
        </w:rPr>
        <w:t xml:space="preserve"> - Invesco S&amp;P 500 </w:t>
      </w:r>
      <w:proofErr w:type="spellStart"/>
      <w:r>
        <w:rPr>
          <w:color w:val="222222"/>
        </w:rPr>
        <w:t>Buy</w:t>
      </w:r>
      <w:r>
        <w:rPr>
          <w:color w:val="222222"/>
        </w:rPr>
        <w:t>Write</w:t>
      </w:r>
      <w:proofErr w:type="spellEnd"/>
      <w:r>
        <w:rPr>
          <w:color w:val="222222"/>
        </w:rPr>
        <w:t xml:space="preserve"> ETF</w:t>
      </w:r>
    </w:p>
    <w:p w14:paraId="66B928E7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PUTW</w:t>
      </w:r>
      <w:r>
        <w:rPr>
          <w:color w:val="222222"/>
        </w:rPr>
        <w:t xml:space="preserve"> - WisdomTree CBOE S&amp;P 500 </w:t>
      </w:r>
      <w:proofErr w:type="spellStart"/>
      <w:r>
        <w:rPr>
          <w:color w:val="222222"/>
        </w:rPr>
        <w:t>PutWrite</w:t>
      </w:r>
      <w:proofErr w:type="spellEnd"/>
      <w:r>
        <w:rPr>
          <w:color w:val="222222"/>
        </w:rPr>
        <w:t xml:space="preserve"> Strategy Fund</w:t>
      </w:r>
    </w:p>
    <w:p w14:paraId="68630EAA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QYLD</w:t>
      </w:r>
      <w:r>
        <w:rPr>
          <w:color w:val="222222"/>
        </w:rPr>
        <w:t xml:space="preserve"> - Global X NASDAQ 100 Covered Call ETF</w:t>
      </w:r>
    </w:p>
    <w:p w14:paraId="3B368D6A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RYLD</w:t>
      </w:r>
      <w:r>
        <w:rPr>
          <w:color w:val="222222"/>
        </w:rPr>
        <w:t xml:space="preserve"> - Global X Russell 2000 Covered Call ETF</w:t>
      </w:r>
    </w:p>
    <w:p w14:paraId="36DBE670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SDY</w:t>
      </w:r>
      <w:r>
        <w:rPr>
          <w:color w:val="222222"/>
        </w:rPr>
        <w:t xml:space="preserve"> - SPDR S&amp;P Dividend ETF</w:t>
      </w:r>
    </w:p>
    <w:p w14:paraId="2D2422BE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TQQQ</w:t>
      </w:r>
      <w:r>
        <w:rPr>
          <w:color w:val="222222"/>
        </w:rPr>
        <w:t xml:space="preserve"> - </w:t>
      </w:r>
      <w:proofErr w:type="spellStart"/>
      <w:r>
        <w:rPr>
          <w:color w:val="222222"/>
        </w:rPr>
        <w:t>ProShares</w:t>
      </w:r>
      <w:proofErr w:type="spellEnd"/>
      <w:r>
        <w:rPr>
          <w:color w:val="222222"/>
        </w:rPr>
        <w:t xml:space="preserve"> </w:t>
      </w:r>
      <w:proofErr w:type="spellStart"/>
      <w:r>
        <w:rPr>
          <w:color w:val="222222"/>
        </w:rPr>
        <w:t>UltraPro</w:t>
      </w:r>
      <w:proofErr w:type="spellEnd"/>
      <w:r>
        <w:rPr>
          <w:color w:val="222222"/>
        </w:rPr>
        <w:t xml:space="preserve"> QQQ</w:t>
      </w:r>
    </w:p>
    <w:p w14:paraId="5E559482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XYLD</w:t>
      </w:r>
      <w:r>
        <w:rPr>
          <w:color w:val="222222"/>
        </w:rPr>
        <w:t xml:space="preserve"> - Global X S&amp;P 500 Covered Call ETF</w:t>
      </w:r>
    </w:p>
    <w:p w14:paraId="142F35FE" w14:textId="77777777" w:rsidR="00D22602" w:rsidRDefault="00D22602">
      <w:pPr>
        <w:jc w:val="both"/>
        <w:rPr>
          <w:rFonts w:ascii="Libre Baskerville" w:eastAsia="Libre Baskerville" w:hAnsi="Libre Baskerville" w:cs="Libre Baskerville"/>
          <w:b/>
          <w:color w:val="0000FF"/>
          <w:sz w:val="24"/>
          <w:szCs w:val="24"/>
        </w:rPr>
      </w:pPr>
    </w:p>
    <w:p w14:paraId="723700ED" w14:textId="77777777" w:rsidR="00D22602" w:rsidRDefault="00026AB4">
      <w:pPr>
        <w:jc w:val="both"/>
        <w:rPr>
          <w:rFonts w:ascii="Libre Baskerville" w:eastAsia="Libre Baskerville" w:hAnsi="Libre Baskerville" w:cs="Libre Baskerville"/>
          <w:b/>
          <w:color w:val="0000FF"/>
          <w:sz w:val="24"/>
          <w:szCs w:val="24"/>
        </w:rPr>
      </w:pPr>
      <w:r>
        <w:rPr>
          <w:rFonts w:ascii="Libre Baskerville" w:eastAsia="Libre Baskerville" w:hAnsi="Libre Baskerville" w:cs="Libre Baskerville"/>
          <w:b/>
          <w:color w:val="134F5C"/>
          <w:sz w:val="24"/>
          <w:szCs w:val="24"/>
          <w:u w:val="single"/>
        </w:rPr>
        <w:t>Country:</w:t>
      </w:r>
    </w:p>
    <w:p w14:paraId="432B7205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EWA</w:t>
      </w:r>
      <w:r>
        <w:rPr>
          <w:color w:val="222222"/>
        </w:rPr>
        <w:t xml:space="preserve"> - iShares MSCI Australia ETF</w:t>
      </w:r>
    </w:p>
    <w:p w14:paraId="74C1EF46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EWC</w:t>
      </w:r>
      <w:r>
        <w:rPr>
          <w:color w:val="222222"/>
        </w:rPr>
        <w:t xml:space="preserve"> - iShares MSCI Canada ETF</w:t>
      </w:r>
    </w:p>
    <w:p w14:paraId="4F0538E1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EWD</w:t>
      </w:r>
      <w:r>
        <w:rPr>
          <w:color w:val="222222"/>
        </w:rPr>
        <w:t xml:space="preserve"> - iShares MSCI Sweden ETF</w:t>
      </w:r>
    </w:p>
    <w:p w14:paraId="1663F1AC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EWG</w:t>
      </w:r>
      <w:r>
        <w:rPr>
          <w:color w:val="222222"/>
        </w:rPr>
        <w:t xml:space="preserve"> - iShares MSCI Germany ETF</w:t>
      </w:r>
    </w:p>
    <w:p w14:paraId="133B1679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EWI</w:t>
      </w:r>
      <w:r>
        <w:rPr>
          <w:color w:val="222222"/>
        </w:rPr>
        <w:t xml:space="preserve"> - iShares MSCI Italy ETF</w:t>
      </w:r>
    </w:p>
    <w:p w14:paraId="5CD9E244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EWJ</w:t>
      </w:r>
      <w:r>
        <w:rPr>
          <w:color w:val="222222"/>
        </w:rPr>
        <w:t xml:space="preserve"> - iShares MSCI Japan ETF</w:t>
      </w:r>
    </w:p>
    <w:p w14:paraId="2DCA4164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EWM</w:t>
      </w:r>
      <w:r>
        <w:rPr>
          <w:color w:val="222222"/>
        </w:rPr>
        <w:t xml:space="preserve"> - iShares MSCI Malaysia</w:t>
      </w:r>
      <w:r>
        <w:rPr>
          <w:color w:val="222222"/>
        </w:rPr>
        <w:t xml:space="preserve"> ETF</w:t>
      </w:r>
    </w:p>
    <w:p w14:paraId="433B6861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EWN</w:t>
      </w:r>
      <w:r>
        <w:rPr>
          <w:color w:val="222222"/>
        </w:rPr>
        <w:t xml:space="preserve"> - iShares MSCI Netherlands ETF</w:t>
      </w:r>
    </w:p>
    <w:p w14:paraId="59201CEA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EWP</w:t>
      </w:r>
      <w:r>
        <w:rPr>
          <w:color w:val="222222"/>
        </w:rPr>
        <w:t xml:space="preserve"> - iShares MSCI Spain ETF</w:t>
      </w:r>
    </w:p>
    <w:p w14:paraId="40022861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EWQ</w:t>
      </w:r>
      <w:r>
        <w:rPr>
          <w:color w:val="222222"/>
        </w:rPr>
        <w:t xml:space="preserve"> - iShares MSCI France ETF</w:t>
      </w:r>
    </w:p>
    <w:p w14:paraId="2DD3F63E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EWS</w:t>
      </w:r>
      <w:r>
        <w:rPr>
          <w:color w:val="222222"/>
        </w:rPr>
        <w:t xml:space="preserve"> - iShares MSCI Singapore ETF</w:t>
      </w:r>
    </w:p>
    <w:p w14:paraId="379A7CAB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EWT</w:t>
      </w:r>
      <w:r>
        <w:rPr>
          <w:color w:val="222222"/>
        </w:rPr>
        <w:t xml:space="preserve"> - iShares MSCI Taiwan ETF</w:t>
      </w:r>
    </w:p>
    <w:p w14:paraId="3CAD8549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EWU</w:t>
      </w:r>
      <w:r>
        <w:rPr>
          <w:color w:val="222222"/>
        </w:rPr>
        <w:t xml:space="preserve"> - iShares MSCI United Kingdom ETF</w:t>
      </w:r>
    </w:p>
    <w:p w14:paraId="67DF2133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EWW</w:t>
      </w:r>
      <w:r>
        <w:rPr>
          <w:color w:val="222222"/>
        </w:rPr>
        <w:t xml:space="preserve"> - iShares MSCI Mexico ETF</w:t>
      </w:r>
    </w:p>
    <w:p w14:paraId="7609A001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EWY</w:t>
      </w:r>
      <w:r>
        <w:rPr>
          <w:color w:val="222222"/>
        </w:rPr>
        <w:t xml:space="preserve"> - iShares MSCI South K</w:t>
      </w:r>
      <w:r>
        <w:rPr>
          <w:color w:val="222222"/>
        </w:rPr>
        <w:t>orea ETF</w:t>
      </w:r>
    </w:p>
    <w:p w14:paraId="6A4C3794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EWZ</w:t>
      </w:r>
      <w:r>
        <w:rPr>
          <w:color w:val="222222"/>
        </w:rPr>
        <w:t xml:space="preserve"> - iShares MSCI Brazil ETF</w:t>
      </w:r>
    </w:p>
    <w:p w14:paraId="08FD144B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 xml:space="preserve">EZA </w:t>
      </w:r>
      <w:r>
        <w:rPr>
          <w:color w:val="222222"/>
        </w:rPr>
        <w:t>- iShares MSCI South Africa ETF</w:t>
      </w:r>
    </w:p>
    <w:p w14:paraId="70002775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INDA</w:t>
      </w:r>
      <w:r>
        <w:rPr>
          <w:color w:val="222222"/>
        </w:rPr>
        <w:t xml:space="preserve"> - iShares MSCI India ETF</w:t>
      </w:r>
    </w:p>
    <w:p w14:paraId="50F6A5C5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ASHR</w:t>
      </w:r>
      <w:r>
        <w:rPr>
          <w:color w:val="222222"/>
        </w:rPr>
        <w:t xml:space="preserve"> - X Trackers Harvest CSI 300 China A-Shares ETF</w:t>
      </w:r>
    </w:p>
    <w:p w14:paraId="2142508F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EEM</w:t>
      </w:r>
      <w:r>
        <w:rPr>
          <w:color w:val="222222"/>
        </w:rPr>
        <w:t xml:space="preserve"> - iShares MSCI Emerging Markets ETF</w:t>
      </w:r>
    </w:p>
    <w:p w14:paraId="08193733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EIDO</w:t>
      </w:r>
      <w:r>
        <w:rPr>
          <w:color w:val="222222"/>
        </w:rPr>
        <w:t xml:space="preserve"> - iShares MSCI Indonesia ETF</w:t>
      </w:r>
    </w:p>
    <w:p w14:paraId="4A674A50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EIRL</w:t>
      </w:r>
      <w:r>
        <w:rPr>
          <w:color w:val="222222"/>
        </w:rPr>
        <w:t xml:space="preserve"> - iShares MSCI Ireland ETF</w:t>
      </w:r>
    </w:p>
    <w:p w14:paraId="779AAE09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FM</w:t>
      </w:r>
      <w:r>
        <w:rPr>
          <w:color w:val="222222"/>
        </w:rPr>
        <w:t xml:space="preserve"> - iShares MSCI Frontier and Select EM ETF</w:t>
      </w:r>
    </w:p>
    <w:p w14:paraId="04137A59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EPHE</w:t>
      </w:r>
      <w:r>
        <w:rPr>
          <w:color w:val="222222"/>
        </w:rPr>
        <w:t xml:space="preserve"> - iShares MSCI Philippines ETF</w:t>
      </w:r>
    </w:p>
    <w:p w14:paraId="7A494B2C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EPI</w:t>
      </w:r>
      <w:r>
        <w:rPr>
          <w:color w:val="222222"/>
        </w:rPr>
        <w:t xml:space="preserve"> - WisdomTree India Earnings Fund</w:t>
      </w:r>
    </w:p>
    <w:p w14:paraId="68D5C294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EPU</w:t>
      </w:r>
      <w:r>
        <w:rPr>
          <w:color w:val="222222"/>
        </w:rPr>
        <w:t xml:space="preserve"> - iShares MSCI Peru ETF</w:t>
      </w:r>
    </w:p>
    <w:p w14:paraId="6B96A1AC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GXG</w:t>
      </w:r>
      <w:r>
        <w:rPr>
          <w:color w:val="222222"/>
        </w:rPr>
        <w:t xml:space="preserve"> - Global X MSCI Colombia ETF</w:t>
      </w:r>
    </w:p>
    <w:p w14:paraId="0CC531A2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KSA</w:t>
      </w:r>
      <w:r>
        <w:rPr>
          <w:color w:val="222222"/>
        </w:rPr>
        <w:t xml:space="preserve"> - iShares MSCI Saudi Arabia ETF</w:t>
      </w:r>
    </w:p>
    <w:p w14:paraId="040DC7EE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RSX</w:t>
      </w:r>
      <w:r>
        <w:rPr>
          <w:color w:val="222222"/>
        </w:rPr>
        <w:t xml:space="preserve"> - </w:t>
      </w:r>
      <w:proofErr w:type="spellStart"/>
      <w:r>
        <w:rPr>
          <w:color w:val="222222"/>
        </w:rPr>
        <w:t>VanEck</w:t>
      </w:r>
      <w:proofErr w:type="spellEnd"/>
      <w:r>
        <w:rPr>
          <w:color w:val="222222"/>
        </w:rPr>
        <w:t xml:space="preserve"> Vectors Russia ETF</w:t>
      </w:r>
    </w:p>
    <w:p w14:paraId="1FBBB228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AAXJ</w:t>
      </w:r>
      <w:r>
        <w:rPr>
          <w:color w:val="222222"/>
        </w:rPr>
        <w:t xml:space="preserve"> - iShares MSCI All Country Asia ex Japan ETF</w:t>
      </w:r>
    </w:p>
    <w:p w14:paraId="7EAE60F3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ECNS</w:t>
      </w:r>
      <w:r>
        <w:rPr>
          <w:color w:val="222222"/>
        </w:rPr>
        <w:t xml:space="preserve"> - iShares MSCI China Small-Cap ETF</w:t>
      </w:r>
    </w:p>
    <w:p w14:paraId="02CA41DE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EEMV</w:t>
      </w:r>
      <w:r>
        <w:rPr>
          <w:color w:val="222222"/>
        </w:rPr>
        <w:t xml:space="preserve"> - iShares MSCI Emerging Markets Min Vol Factor ETF</w:t>
      </w:r>
    </w:p>
    <w:p w14:paraId="244D913B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ILF</w:t>
      </w:r>
      <w:r>
        <w:rPr>
          <w:color w:val="222222"/>
        </w:rPr>
        <w:t xml:space="preserve"> - iShare</w:t>
      </w:r>
      <w:r>
        <w:rPr>
          <w:color w:val="222222"/>
        </w:rPr>
        <w:t>s Latin America 40 ETF</w:t>
      </w:r>
    </w:p>
    <w:p w14:paraId="4EC94506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lastRenderedPageBreak/>
        <w:t>VGK</w:t>
      </w:r>
      <w:r>
        <w:rPr>
          <w:color w:val="222222"/>
        </w:rPr>
        <w:t xml:space="preserve"> - Vanguard FTSE Europe Index Fund ETF</w:t>
      </w:r>
    </w:p>
    <w:p w14:paraId="1A69D7B1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VNM</w:t>
      </w:r>
      <w:r>
        <w:rPr>
          <w:color w:val="222222"/>
        </w:rPr>
        <w:t xml:space="preserve"> - </w:t>
      </w:r>
      <w:proofErr w:type="spellStart"/>
      <w:r>
        <w:rPr>
          <w:color w:val="222222"/>
        </w:rPr>
        <w:t>VanEck</w:t>
      </w:r>
      <w:proofErr w:type="spellEnd"/>
      <w:r>
        <w:rPr>
          <w:color w:val="222222"/>
        </w:rPr>
        <w:t xml:space="preserve"> Vectors Vietnam ETF</w:t>
      </w:r>
    </w:p>
    <w:p w14:paraId="698452FA" w14:textId="77777777" w:rsidR="00D22602" w:rsidRDefault="00D22602">
      <w:pPr>
        <w:jc w:val="both"/>
        <w:rPr>
          <w:rFonts w:ascii="Libre Baskerville" w:eastAsia="Libre Baskerville" w:hAnsi="Libre Baskerville" w:cs="Libre Baskerville"/>
          <w:b/>
          <w:color w:val="0000FF"/>
          <w:sz w:val="24"/>
          <w:szCs w:val="24"/>
        </w:rPr>
      </w:pPr>
    </w:p>
    <w:p w14:paraId="14702B12" w14:textId="77777777" w:rsidR="00D22602" w:rsidRDefault="00026AB4">
      <w:pPr>
        <w:jc w:val="both"/>
        <w:rPr>
          <w:rFonts w:ascii="Libre Baskerville" w:eastAsia="Libre Baskerville" w:hAnsi="Libre Baskerville" w:cs="Libre Baskerville"/>
          <w:b/>
          <w:color w:val="0000FF"/>
          <w:sz w:val="24"/>
          <w:szCs w:val="24"/>
        </w:rPr>
      </w:pPr>
      <w:r>
        <w:rPr>
          <w:rFonts w:ascii="Libre Baskerville" w:eastAsia="Libre Baskerville" w:hAnsi="Libre Baskerville" w:cs="Libre Baskerville"/>
          <w:b/>
          <w:color w:val="134F5C"/>
          <w:sz w:val="24"/>
          <w:szCs w:val="24"/>
          <w:u w:val="single"/>
        </w:rPr>
        <w:t>Commodity:</w:t>
      </w:r>
    </w:p>
    <w:p w14:paraId="2E311ABF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COPX</w:t>
      </w:r>
      <w:r>
        <w:rPr>
          <w:color w:val="222222"/>
        </w:rPr>
        <w:t xml:space="preserve"> - Global X Copper Miners ETF</w:t>
      </w:r>
    </w:p>
    <w:p w14:paraId="2CDBD69F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CORN</w:t>
      </w:r>
      <w:r>
        <w:rPr>
          <w:color w:val="222222"/>
        </w:rPr>
        <w:t xml:space="preserve"> - Teucrium Corn Fund</w:t>
      </w:r>
    </w:p>
    <w:p w14:paraId="08C5654F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CPER</w:t>
      </w:r>
      <w:r>
        <w:rPr>
          <w:color w:val="222222"/>
        </w:rPr>
        <w:t xml:space="preserve"> - United States Copper Index Fund</w:t>
      </w:r>
    </w:p>
    <w:p w14:paraId="17CC4F7C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DBA</w:t>
      </w:r>
      <w:r>
        <w:rPr>
          <w:color w:val="222222"/>
        </w:rPr>
        <w:t xml:space="preserve"> - Invesco DB Agriculture Fund</w:t>
      </w:r>
    </w:p>
    <w:p w14:paraId="1411FBFA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DBB</w:t>
      </w:r>
      <w:r>
        <w:rPr>
          <w:color w:val="222222"/>
        </w:rPr>
        <w:t xml:space="preserve"> - Invesco</w:t>
      </w:r>
      <w:r>
        <w:rPr>
          <w:color w:val="222222"/>
        </w:rPr>
        <w:t xml:space="preserve"> DB Base Metals Fund</w:t>
      </w:r>
    </w:p>
    <w:p w14:paraId="10FC5494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DBC</w:t>
      </w:r>
      <w:r>
        <w:rPr>
          <w:color w:val="222222"/>
        </w:rPr>
        <w:t xml:space="preserve"> - Invesco DB Commodity Index Tracking Fund</w:t>
      </w:r>
    </w:p>
    <w:p w14:paraId="3B45726E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FTGC</w:t>
      </w:r>
      <w:r>
        <w:rPr>
          <w:color w:val="222222"/>
        </w:rPr>
        <w:t xml:space="preserve"> - First Trust Global Tactical Commodity Strategy Fund</w:t>
      </w:r>
    </w:p>
    <w:p w14:paraId="7243B66E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GLD</w:t>
      </w:r>
      <w:r>
        <w:rPr>
          <w:color w:val="222222"/>
        </w:rPr>
        <w:t xml:space="preserve"> - SPDR Gold Shares</w:t>
      </w:r>
    </w:p>
    <w:p w14:paraId="2ABA9D50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JO</w:t>
      </w:r>
      <w:r>
        <w:rPr>
          <w:color w:val="222222"/>
        </w:rPr>
        <w:t xml:space="preserve"> - </w:t>
      </w:r>
      <w:proofErr w:type="spellStart"/>
      <w:r>
        <w:rPr>
          <w:color w:val="222222"/>
        </w:rPr>
        <w:t>iPath</w:t>
      </w:r>
      <w:proofErr w:type="spellEnd"/>
      <w:r>
        <w:rPr>
          <w:color w:val="222222"/>
        </w:rPr>
        <w:t xml:space="preserve"> Series B Bloomberg Coffee Subindex Total Return ETN</w:t>
      </w:r>
    </w:p>
    <w:p w14:paraId="5431C992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GDX</w:t>
      </w:r>
      <w:r>
        <w:rPr>
          <w:color w:val="222222"/>
        </w:rPr>
        <w:t xml:space="preserve"> - </w:t>
      </w:r>
      <w:proofErr w:type="spellStart"/>
      <w:r>
        <w:rPr>
          <w:color w:val="222222"/>
        </w:rPr>
        <w:t>VanEck</w:t>
      </w:r>
      <w:proofErr w:type="spellEnd"/>
      <w:r>
        <w:rPr>
          <w:color w:val="222222"/>
        </w:rPr>
        <w:t xml:space="preserve"> Vectors Gold Miners ETF</w:t>
      </w:r>
    </w:p>
    <w:p w14:paraId="150ED922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GDXJ</w:t>
      </w:r>
      <w:r>
        <w:rPr>
          <w:color w:val="222222"/>
        </w:rPr>
        <w:t xml:space="preserve"> - </w:t>
      </w:r>
      <w:proofErr w:type="spellStart"/>
      <w:r>
        <w:rPr>
          <w:color w:val="222222"/>
        </w:rPr>
        <w:t>VanEck</w:t>
      </w:r>
      <w:proofErr w:type="spellEnd"/>
      <w:r>
        <w:rPr>
          <w:color w:val="222222"/>
        </w:rPr>
        <w:t xml:space="preserve"> Vectors Junior Gold Miners ETF</w:t>
      </w:r>
    </w:p>
    <w:p w14:paraId="75ACA0D3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GLDI</w:t>
      </w:r>
      <w:r>
        <w:rPr>
          <w:color w:val="222222"/>
        </w:rPr>
        <w:t xml:space="preserve"> - Credit Suisse X-Links Gold Shares Covered Call ETN</w:t>
      </w:r>
    </w:p>
    <w:p w14:paraId="7AA2B6AF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LIT</w:t>
      </w:r>
      <w:r>
        <w:rPr>
          <w:color w:val="222222"/>
        </w:rPr>
        <w:t xml:space="preserve"> - Global X Lithium &amp; Battery Tech ETF</w:t>
      </w:r>
    </w:p>
    <w:p w14:paraId="4F47577A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MOO</w:t>
      </w:r>
      <w:r>
        <w:rPr>
          <w:color w:val="222222"/>
        </w:rPr>
        <w:t xml:space="preserve"> - </w:t>
      </w:r>
      <w:proofErr w:type="spellStart"/>
      <w:r>
        <w:rPr>
          <w:color w:val="222222"/>
        </w:rPr>
        <w:t>VanEck</w:t>
      </w:r>
      <w:proofErr w:type="spellEnd"/>
      <w:r>
        <w:rPr>
          <w:color w:val="222222"/>
        </w:rPr>
        <w:t xml:space="preserve"> Vectors Agribusiness ETF</w:t>
      </w:r>
    </w:p>
    <w:p w14:paraId="7EF3BF8E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PPLT</w:t>
      </w:r>
      <w:r>
        <w:rPr>
          <w:color w:val="222222"/>
        </w:rPr>
        <w:t xml:space="preserve"> - Aberdeen Standard Physical Platinum Shares ETF</w:t>
      </w:r>
    </w:p>
    <w:p w14:paraId="68089B6D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REMX</w:t>
      </w:r>
      <w:r>
        <w:rPr>
          <w:color w:val="222222"/>
        </w:rPr>
        <w:t xml:space="preserve"> - </w:t>
      </w:r>
      <w:proofErr w:type="spellStart"/>
      <w:r>
        <w:rPr>
          <w:color w:val="222222"/>
        </w:rPr>
        <w:t>VanEck</w:t>
      </w:r>
      <w:proofErr w:type="spellEnd"/>
      <w:r>
        <w:rPr>
          <w:color w:val="222222"/>
        </w:rPr>
        <w:t xml:space="preserve"> Vectors Rare Earth/Strategic Metals ETF</w:t>
      </w:r>
    </w:p>
    <w:p w14:paraId="2D3F93B8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SIL</w:t>
      </w:r>
      <w:r>
        <w:rPr>
          <w:color w:val="222222"/>
        </w:rPr>
        <w:t xml:space="preserve"> - Global X Silver Miners ETF</w:t>
      </w:r>
    </w:p>
    <w:p w14:paraId="7B12BBA1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SILJ</w:t>
      </w:r>
      <w:r>
        <w:rPr>
          <w:color w:val="222222"/>
        </w:rPr>
        <w:t xml:space="preserve"> - ETFMG Prime Junior Silver Miners ETF</w:t>
      </w:r>
    </w:p>
    <w:p w14:paraId="18B4FBC3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SLV</w:t>
      </w:r>
      <w:r>
        <w:rPr>
          <w:color w:val="222222"/>
        </w:rPr>
        <w:t xml:space="preserve"> - iShares Silver Trust</w:t>
      </w:r>
    </w:p>
    <w:p w14:paraId="722B2D72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SLX</w:t>
      </w:r>
      <w:r>
        <w:rPr>
          <w:color w:val="222222"/>
        </w:rPr>
        <w:t xml:space="preserve"> - </w:t>
      </w:r>
      <w:proofErr w:type="spellStart"/>
      <w:r>
        <w:rPr>
          <w:color w:val="222222"/>
        </w:rPr>
        <w:t>VanEck</w:t>
      </w:r>
      <w:proofErr w:type="spellEnd"/>
      <w:r>
        <w:rPr>
          <w:color w:val="222222"/>
        </w:rPr>
        <w:t xml:space="preserve"> Vectors Steel ETF</w:t>
      </w:r>
    </w:p>
    <w:p w14:paraId="7D7B64CC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URA</w:t>
      </w:r>
      <w:r>
        <w:rPr>
          <w:color w:val="222222"/>
        </w:rPr>
        <w:t xml:space="preserve"> - Global X Ur</w:t>
      </w:r>
      <w:r>
        <w:rPr>
          <w:color w:val="222222"/>
        </w:rPr>
        <w:t>anium ETF</w:t>
      </w:r>
    </w:p>
    <w:p w14:paraId="01D6E604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VEGI</w:t>
      </w:r>
      <w:r>
        <w:rPr>
          <w:color w:val="222222"/>
        </w:rPr>
        <w:t xml:space="preserve"> - iShares MSCI Global Agriculture Producers ETF</w:t>
      </w:r>
    </w:p>
    <w:p w14:paraId="2C42DD54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WEAT</w:t>
      </w:r>
      <w:r>
        <w:rPr>
          <w:color w:val="222222"/>
        </w:rPr>
        <w:t xml:space="preserve"> - Teucrium Wheat Fund</w:t>
      </w:r>
    </w:p>
    <w:p w14:paraId="1C31AA00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XLB</w:t>
      </w:r>
      <w:r>
        <w:rPr>
          <w:color w:val="222222"/>
        </w:rPr>
        <w:t xml:space="preserve"> - Materials Select Sector SPDR Fund</w:t>
      </w:r>
    </w:p>
    <w:p w14:paraId="38537B3F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WOOD</w:t>
      </w:r>
      <w:r>
        <w:rPr>
          <w:color w:val="222222"/>
        </w:rPr>
        <w:t xml:space="preserve"> - iShares Global Timber &amp; Forestry ETF</w:t>
      </w:r>
    </w:p>
    <w:p w14:paraId="75ABF108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XME</w:t>
      </w:r>
      <w:r>
        <w:rPr>
          <w:color w:val="222222"/>
        </w:rPr>
        <w:t xml:space="preserve"> - SPDR S&amp;P Metals and Mining ETF</w:t>
      </w:r>
    </w:p>
    <w:p w14:paraId="604AB53E" w14:textId="77777777" w:rsidR="00D22602" w:rsidRDefault="00D22602">
      <w:pPr>
        <w:shd w:val="clear" w:color="auto" w:fill="FFFFFF"/>
        <w:jc w:val="both"/>
        <w:rPr>
          <w:color w:val="222222"/>
        </w:rPr>
      </w:pPr>
    </w:p>
    <w:p w14:paraId="2D17F6BF" w14:textId="77777777" w:rsidR="00D22602" w:rsidRDefault="00026AB4">
      <w:pPr>
        <w:jc w:val="both"/>
        <w:rPr>
          <w:rFonts w:ascii="Libre Baskerville" w:eastAsia="Libre Baskerville" w:hAnsi="Libre Baskerville" w:cs="Libre Baskerville"/>
          <w:b/>
          <w:color w:val="0000FF"/>
          <w:sz w:val="24"/>
          <w:szCs w:val="24"/>
        </w:rPr>
      </w:pPr>
      <w:r>
        <w:rPr>
          <w:rFonts w:ascii="Libre Baskerville" w:eastAsia="Libre Baskerville" w:hAnsi="Libre Baskerville" w:cs="Libre Baskerville"/>
          <w:b/>
          <w:color w:val="134F5C"/>
          <w:sz w:val="24"/>
          <w:szCs w:val="24"/>
          <w:u w:val="single"/>
        </w:rPr>
        <w:t>Energy:</w:t>
      </w:r>
    </w:p>
    <w:p w14:paraId="0B61D475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CRAK</w:t>
      </w:r>
      <w:r>
        <w:rPr>
          <w:color w:val="222222"/>
        </w:rPr>
        <w:t xml:space="preserve"> - </w:t>
      </w:r>
      <w:proofErr w:type="spellStart"/>
      <w:r>
        <w:rPr>
          <w:color w:val="222222"/>
        </w:rPr>
        <w:t>VanEck</w:t>
      </w:r>
      <w:proofErr w:type="spellEnd"/>
      <w:r>
        <w:rPr>
          <w:color w:val="222222"/>
        </w:rPr>
        <w:t xml:space="preserve"> Oil Refiners ETF</w:t>
      </w:r>
    </w:p>
    <w:p w14:paraId="43204287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FAN</w:t>
      </w:r>
      <w:r>
        <w:rPr>
          <w:color w:val="222222"/>
        </w:rPr>
        <w:t xml:space="preserve"> -</w:t>
      </w:r>
      <w:r>
        <w:rPr>
          <w:color w:val="222222"/>
        </w:rPr>
        <w:t xml:space="preserve"> First Trust Global Wind Energy ETF</w:t>
      </w:r>
    </w:p>
    <w:p w14:paraId="47A50D75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FCG</w:t>
      </w:r>
      <w:r>
        <w:rPr>
          <w:color w:val="222222"/>
        </w:rPr>
        <w:t xml:space="preserve"> - First Trust Natural Gas ETF</w:t>
      </w:r>
    </w:p>
    <w:p w14:paraId="2202283C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ICLN</w:t>
      </w:r>
      <w:r>
        <w:rPr>
          <w:color w:val="222222"/>
        </w:rPr>
        <w:t xml:space="preserve"> - iShares Global Clean Energy ETF</w:t>
      </w:r>
    </w:p>
    <w:p w14:paraId="47CE3A65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IXC</w:t>
      </w:r>
      <w:r>
        <w:rPr>
          <w:color w:val="222222"/>
        </w:rPr>
        <w:t xml:space="preserve"> - iShares Global Energy ETF</w:t>
      </w:r>
    </w:p>
    <w:p w14:paraId="4DA32229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OIH</w:t>
      </w:r>
      <w:r>
        <w:rPr>
          <w:color w:val="222222"/>
        </w:rPr>
        <w:t xml:space="preserve"> - </w:t>
      </w:r>
      <w:proofErr w:type="spellStart"/>
      <w:r>
        <w:rPr>
          <w:color w:val="222222"/>
        </w:rPr>
        <w:t>VanEck</w:t>
      </w:r>
      <w:proofErr w:type="spellEnd"/>
      <w:r>
        <w:rPr>
          <w:color w:val="222222"/>
        </w:rPr>
        <w:t xml:space="preserve"> Vectors Oil Services ETF</w:t>
      </w:r>
    </w:p>
    <w:p w14:paraId="06626733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PSCE</w:t>
      </w:r>
      <w:r>
        <w:rPr>
          <w:color w:val="222222"/>
        </w:rPr>
        <w:t xml:space="preserve"> - Invesco S&amp;P SmallCap Energy ETF</w:t>
      </w:r>
    </w:p>
    <w:p w14:paraId="081DBD03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PXI</w:t>
      </w:r>
      <w:r>
        <w:rPr>
          <w:color w:val="222222"/>
        </w:rPr>
        <w:t xml:space="preserve"> - Invesco DWA Energy Momentum ETF</w:t>
      </w:r>
    </w:p>
    <w:p w14:paraId="77E8D961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RYE</w:t>
      </w:r>
      <w:r>
        <w:rPr>
          <w:color w:val="222222"/>
        </w:rPr>
        <w:t xml:space="preserve"> - Invesco S&amp;P 500 Equal Weight Energy ETF</w:t>
      </w:r>
    </w:p>
    <w:p w14:paraId="3AE84E68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TAN</w:t>
      </w:r>
      <w:r>
        <w:rPr>
          <w:color w:val="222222"/>
        </w:rPr>
        <w:t xml:space="preserve"> - Invesco Solar ETF</w:t>
      </w:r>
    </w:p>
    <w:p w14:paraId="7D14C278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UNG</w:t>
      </w:r>
      <w:r>
        <w:rPr>
          <w:color w:val="222222"/>
        </w:rPr>
        <w:t xml:space="preserve"> - United States Natural Gas Fund, LP</w:t>
      </w:r>
    </w:p>
    <w:p w14:paraId="20757BDE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USO</w:t>
      </w:r>
      <w:r>
        <w:rPr>
          <w:color w:val="222222"/>
        </w:rPr>
        <w:t xml:space="preserve"> - United States Oil Fund, LP</w:t>
      </w:r>
    </w:p>
    <w:p w14:paraId="561DBA4E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USOI</w:t>
      </w:r>
      <w:r>
        <w:rPr>
          <w:color w:val="222222"/>
        </w:rPr>
        <w:t xml:space="preserve"> - Credit Suisse X-Links Crude Oil Shares Covered Call ETNs</w:t>
      </w:r>
    </w:p>
    <w:p w14:paraId="4D812730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XLE</w:t>
      </w:r>
      <w:r>
        <w:rPr>
          <w:color w:val="222222"/>
        </w:rPr>
        <w:t xml:space="preserve"> - Energy Select Sector SPDR Fund</w:t>
      </w:r>
    </w:p>
    <w:p w14:paraId="6EC94902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XOP</w:t>
      </w:r>
      <w:r>
        <w:rPr>
          <w:color w:val="222222"/>
        </w:rPr>
        <w:t xml:space="preserve"> - SPDR S&amp;P Oil &amp; Gas Exploration &amp; Production ETF</w:t>
      </w:r>
    </w:p>
    <w:p w14:paraId="3B02B322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XLU</w:t>
      </w:r>
      <w:r>
        <w:rPr>
          <w:color w:val="222222"/>
        </w:rPr>
        <w:t xml:space="preserve"> - Utilities Select Sector SPDR Fund</w:t>
      </w:r>
    </w:p>
    <w:p w14:paraId="719EFE48" w14:textId="77777777" w:rsidR="00D22602" w:rsidRDefault="00D22602">
      <w:pPr>
        <w:jc w:val="both"/>
        <w:rPr>
          <w:rFonts w:ascii="Libre Baskerville" w:eastAsia="Libre Baskerville" w:hAnsi="Libre Baskerville" w:cs="Libre Baskerville"/>
          <w:b/>
          <w:color w:val="0000FF"/>
          <w:sz w:val="24"/>
          <w:szCs w:val="24"/>
        </w:rPr>
      </w:pPr>
    </w:p>
    <w:p w14:paraId="7B8E15AD" w14:textId="77777777" w:rsidR="00D22602" w:rsidRDefault="00026AB4">
      <w:pPr>
        <w:jc w:val="both"/>
        <w:rPr>
          <w:rFonts w:ascii="Libre Baskerville" w:eastAsia="Libre Baskerville" w:hAnsi="Libre Baskerville" w:cs="Libre Baskerville"/>
          <w:b/>
          <w:color w:val="0000FF"/>
          <w:sz w:val="24"/>
          <w:szCs w:val="24"/>
        </w:rPr>
      </w:pPr>
      <w:r>
        <w:rPr>
          <w:rFonts w:ascii="Libre Baskerville" w:eastAsia="Libre Baskerville" w:hAnsi="Libre Baskerville" w:cs="Libre Baskerville"/>
          <w:b/>
          <w:color w:val="134F5C"/>
          <w:sz w:val="24"/>
          <w:szCs w:val="24"/>
          <w:u w:val="single"/>
        </w:rPr>
        <w:t>Volatility:</w:t>
      </w:r>
    </w:p>
    <w:p w14:paraId="14E28210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UVXY</w:t>
      </w:r>
      <w:r>
        <w:rPr>
          <w:color w:val="222222"/>
        </w:rPr>
        <w:t xml:space="preserve"> - </w:t>
      </w:r>
      <w:proofErr w:type="spellStart"/>
      <w:r>
        <w:rPr>
          <w:color w:val="222222"/>
        </w:rPr>
        <w:t>ProShares</w:t>
      </w:r>
      <w:proofErr w:type="spellEnd"/>
      <w:r>
        <w:rPr>
          <w:color w:val="222222"/>
        </w:rPr>
        <w:t xml:space="preserve"> Ultra VIX Short-Term Futures ETF</w:t>
      </w:r>
    </w:p>
    <w:p w14:paraId="50A46F29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VX</w:t>
      </w:r>
      <w:r>
        <w:rPr>
          <w:b/>
          <w:color w:val="222222"/>
        </w:rPr>
        <w:t>X</w:t>
      </w:r>
      <w:r>
        <w:rPr>
          <w:color w:val="222222"/>
        </w:rPr>
        <w:t xml:space="preserve"> - </w:t>
      </w:r>
      <w:proofErr w:type="spellStart"/>
      <w:r>
        <w:rPr>
          <w:color w:val="222222"/>
        </w:rPr>
        <w:t>iPath</w:t>
      </w:r>
      <w:proofErr w:type="spellEnd"/>
      <w:r>
        <w:rPr>
          <w:color w:val="222222"/>
        </w:rPr>
        <w:t xml:space="preserve"> Series B S&amp;P 500 VIX Short-Term Futures ETN</w:t>
      </w:r>
    </w:p>
    <w:p w14:paraId="4F495F72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VXZ</w:t>
      </w:r>
      <w:r>
        <w:rPr>
          <w:color w:val="222222"/>
        </w:rPr>
        <w:t xml:space="preserve"> - </w:t>
      </w:r>
      <w:proofErr w:type="spellStart"/>
      <w:r>
        <w:rPr>
          <w:color w:val="222222"/>
        </w:rPr>
        <w:t>iPath</w:t>
      </w:r>
      <w:proofErr w:type="spellEnd"/>
      <w:r>
        <w:rPr>
          <w:color w:val="222222"/>
        </w:rPr>
        <w:t xml:space="preserve"> Series B S&amp;P 500 VIX Mid-Term Futures ETN</w:t>
      </w:r>
    </w:p>
    <w:p w14:paraId="4CDF734D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SVIX</w:t>
      </w:r>
      <w:r>
        <w:rPr>
          <w:color w:val="222222"/>
        </w:rPr>
        <w:t xml:space="preserve"> - -1x Short VIX Futures ETF</w:t>
      </w:r>
    </w:p>
    <w:p w14:paraId="3357377A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SVOL</w:t>
      </w:r>
      <w:r>
        <w:rPr>
          <w:color w:val="222222"/>
        </w:rPr>
        <w:t xml:space="preserve"> - Simplify Volatility Premium ETF</w:t>
      </w:r>
    </w:p>
    <w:p w14:paraId="33F80961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TVIX</w:t>
      </w:r>
      <w:r>
        <w:rPr>
          <w:color w:val="222222"/>
        </w:rPr>
        <w:t xml:space="preserve"> - </w:t>
      </w:r>
      <w:proofErr w:type="spellStart"/>
      <w:r>
        <w:rPr>
          <w:color w:val="222222"/>
        </w:rPr>
        <w:t>VelocityShares</w:t>
      </w:r>
      <w:proofErr w:type="spellEnd"/>
      <w:r>
        <w:rPr>
          <w:color w:val="222222"/>
        </w:rPr>
        <w:t xml:space="preserve"> Daily 2x VIX Short-Term ETN</w:t>
      </w:r>
    </w:p>
    <w:p w14:paraId="4D8CA1B5" w14:textId="77777777" w:rsidR="00D22602" w:rsidRDefault="00026AB4">
      <w:pPr>
        <w:shd w:val="clear" w:color="auto" w:fill="FFFFFF"/>
        <w:jc w:val="both"/>
        <w:rPr>
          <w:rFonts w:ascii="Libre Baskerville" w:eastAsia="Libre Baskerville" w:hAnsi="Libre Baskerville" w:cs="Libre Baskerville"/>
          <w:sz w:val="24"/>
          <w:szCs w:val="24"/>
        </w:rPr>
      </w:pPr>
      <w:r>
        <w:rPr>
          <w:b/>
          <w:color w:val="222222"/>
        </w:rPr>
        <w:t>ZIV</w:t>
      </w:r>
      <w:r>
        <w:rPr>
          <w:color w:val="222222"/>
        </w:rPr>
        <w:t xml:space="preserve"> - </w:t>
      </w:r>
      <w:proofErr w:type="spellStart"/>
      <w:r>
        <w:rPr>
          <w:color w:val="222222"/>
        </w:rPr>
        <w:t>VelocityShares</w:t>
      </w:r>
      <w:proofErr w:type="spellEnd"/>
      <w:r>
        <w:rPr>
          <w:color w:val="222222"/>
        </w:rPr>
        <w:t xml:space="preserve"> Daily</w:t>
      </w:r>
      <w:r>
        <w:rPr>
          <w:color w:val="222222"/>
        </w:rPr>
        <w:t xml:space="preserve"> Inverse VIX Medium-Term ETN</w:t>
      </w:r>
    </w:p>
    <w:p w14:paraId="272483EF" w14:textId="77777777" w:rsidR="00D22602" w:rsidRDefault="00D22602">
      <w:pPr>
        <w:shd w:val="clear" w:color="auto" w:fill="FFFFFF"/>
        <w:jc w:val="both"/>
        <w:rPr>
          <w:color w:val="222222"/>
        </w:rPr>
      </w:pPr>
    </w:p>
    <w:p w14:paraId="3EE61FDF" w14:textId="77777777" w:rsidR="00D22602" w:rsidRDefault="00026AB4">
      <w:pPr>
        <w:jc w:val="both"/>
        <w:rPr>
          <w:rFonts w:ascii="Libre Baskerville" w:eastAsia="Libre Baskerville" w:hAnsi="Libre Baskerville" w:cs="Libre Baskerville"/>
          <w:b/>
          <w:color w:val="0000FF"/>
          <w:sz w:val="24"/>
          <w:szCs w:val="24"/>
        </w:rPr>
      </w:pPr>
      <w:r>
        <w:rPr>
          <w:rFonts w:ascii="Libre Baskerville" w:eastAsia="Libre Baskerville" w:hAnsi="Libre Baskerville" w:cs="Libre Baskerville"/>
          <w:b/>
          <w:color w:val="134F5C"/>
          <w:sz w:val="24"/>
          <w:szCs w:val="24"/>
          <w:u w:val="single"/>
        </w:rPr>
        <w:t>Finance-Banks-Insurance:</w:t>
      </w:r>
    </w:p>
    <w:p w14:paraId="1D6182C2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KBE</w:t>
      </w:r>
      <w:r>
        <w:rPr>
          <w:color w:val="222222"/>
        </w:rPr>
        <w:t xml:space="preserve"> - SPDR S&amp;P Bank ETF</w:t>
      </w:r>
    </w:p>
    <w:p w14:paraId="40E210A9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KIE</w:t>
      </w:r>
      <w:r>
        <w:rPr>
          <w:color w:val="222222"/>
        </w:rPr>
        <w:t xml:space="preserve"> - SPDR S&amp;P Insurance ETF</w:t>
      </w:r>
    </w:p>
    <w:p w14:paraId="3BA60879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KRE</w:t>
      </w:r>
      <w:r>
        <w:rPr>
          <w:color w:val="222222"/>
        </w:rPr>
        <w:t xml:space="preserve"> - SPDR S&amp;P Regional Banking ETF</w:t>
      </w:r>
    </w:p>
    <w:p w14:paraId="6B9FE511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EUFN</w:t>
      </w:r>
      <w:r>
        <w:rPr>
          <w:color w:val="222222"/>
        </w:rPr>
        <w:t xml:space="preserve"> - iShares MSCI Europe Financials ETF</w:t>
      </w:r>
    </w:p>
    <w:p w14:paraId="7023B894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IAI</w:t>
      </w:r>
      <w:r>
        <w:rPr>
          <w:color w:val="222222"/>
        </w:rPr>
        <w:t xml:space="preserve"> - iShares U.S. Broker-Dealers &amp; Securities Exchanges ETF</w:t>
      </w:r>
    </w:p>
    <w:p w14:paraId="256D0C44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XLF</w:t>
      </w:r>
      <w:r>
        <w:rPr>
          <w:color w:val="222222"/>
        </w:rPr>
        <w:t xml:space="preserve"> - Financial Select Sector SPDR Fund</w:t>
      </w:r>
    </w:p>
    <w:p w14:paraId="637C41FA" w14:textId="77777777" w:rsidR="00D22602" w:rsidRDefault="00D22602">
      <w:pPr>
        <w:jc w:val="both"/>
        <w:rPr>
          <w:rFonts w:ascii="Libre Baskerville" w:eastAsia="Libre Baskerville" w:hAnsi="Libre Baskerville" w:cs="Libre Baskerville"/>
          <w:b/>
          <w:color w:val="0000FF"/>
          <w:sz w:val="24"/>
          <w:szCs w:val="24"/>
        </w:rPr>
      </w:pPr>
    </w:p>
    <w:p w14:paraId="30FBF348" w14:textId="77777777" w:rsidR="00D22602" w:rsidRDefault="00026AB4">
      <w:pPr>
        <w:jc w:val="both"/>
        <w:rPr>
          <w:rFonts w:ascii="Libre Baskerville" w:eastAsia="Libre Baskerville" w:hAnsi="Libre Baskerville" w:cs="Libre Baskerville"/>
          <w:b/>
          <w:color w:val="0000FF"/>
          <w:sz w:val="24"/>
          <w:szCs w:val="24"/>
        </w:rPr>
      </w:pPr>
      <w:r>
        <w:rPr>
          <w:rFonts w:ascii="Libre Baskerville" w:eastAsia="Libre Baskerville" w:hAnsi="Libre Baskerville" w:cs="Libre Baskerville"/>
          <w:b/>
          <w:color w:val="134F5C"/>
          <w:sz w:val="24"/>
          <w:szCs w:val="24"/>
          <w:u w:val="single"/>
        </w:rPr>
        <w:t>Technology:</w:t>
      </w:r>
    </w:p>
    <w:p w14:paraId="4CB0D45E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BOTZ</w:t>
      </w:r>
      <w:r>
        <w:rPr>
          <w:color w:val="222222"/>
        </w:rPr>
        <w:t xml:space="preserve"> - Global X Robotics &amp; Artificial Intelligence ETF</w:t>
      </w:r>
    </w:p>
    <w:p w14:paraId="36CFF15E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CIBR</w:t>
      </w:r>
      <w:r>
        <w:rPr>
          <w:color w:val="222222"/>
        </w:rPr>
        <w:t xml:space="preserve"> - First Trust NASDAQ Cybersecurity ETF</w:t>
      </w:r>
    </w:p>
    <w:p w14:paraId="626B671B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 xml:space="preserve">FDN </w:t>
      </w:r>
      <w:r>
        <w:rPr>
          <w:color w:val="222222"/>
        </w:rPr>
        <w:t>-</w:t>
      </w:r>
      <w:r>
        <w:rPr>
          <w:b/>
          <w:color w:val="222222"/>
        </w:rPr>
        <w:t xml:space="preserve"> </w:t>
      </w:r>
      <w:r>
        <w:rPr>
          <w:color w:val="222222"/>
        </w:rPr>
        <w:t>First Trust Dow Jones Internet Index Fun</w:t>
      </w:r>
      <w:r>
        <w:rPr>
          <w:color w:val="222222"/>
        </w:rPr>
        <w:t>d</w:t>
      </w:r>
    </w:p>
    <w:p w14:paraId="4D5F6D58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FINX</w:t>
      </w:r>
      <w:r>
        <w:rPr>
          <w:color w:val="222222"/>
        </w:rPr>
        <w:t xml:space="preserve"> - Global X FinTech ETF</w:t>
      </w:r>
    </w:p>
    <w:p w14:paraId="60F2B071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HACK</w:t>
      </w:r>
      <w:r>
        <w:rPr>
          <w:color w:val="222222"/>
        </w:rPr>
        <w:t xml:space="preserve"> - ETFMG Prime Cyber Security ETF</w:t>
      </w:r>
    </w:p>
    <w:p w14:paraId="5967D955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BLOK</w:t>
      </w:r>
      <w:r>
        <w:rPr>
          <w:color w:val="222222"/>
        </w:rPr>
        <w:t xml:space="preserve"> - Amplify Transformational Data Sharing ETF</w:t>
      </w:r>
    </w:p>
    <w:p w14:paraId="00097C82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CQQQ</w:t>
      </w:r>
      <w:r>
        <w:rPr>
          <w:color w:val="222222"/>
        </w:rPr>
        <w:t xml:space="preserve"> - Invesco China Technology ETF</w:t>
      </w:r>
    </w:p>
    <w:p w14:paraId="06FA268D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EMQQ</w:t>
      </w:r>
      <w:r>
        <w:rPr>
          <w:color w:val="222222"/>
        </w:rPr>
        <w:t xml:space="preserve"> - EMQQ The Emerging Markets Internet &amp; Ecommerce ETF</w:t>
      </w:r>
    </w:p>
    <w:p w14:paraId="45A59FDA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GBTC</w:t>
      </w:r>
      <w:r>
        <w:rPr>
          <w:color w:val="222222"/>
        </w:rPr>
        <w:t xml:space="preserve"> - Grayscale Bitcoin Trust</w:t>
      </w:r>
    </w:p>
    <w:p w14:paraId="7DF25144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IGV</w:t>
      </w:r>
      <w:r>
        <w:rPr>
          <w:color w:val="222222"/>
        </w:rPr>
        <w:t xml:space="preserve"> - iShares Expanded Tech-Software Sector ETF</w:t>
      </w:r>
    </w:p>
    <w:p w14:paraId="54249AFB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IPAY</w:t>
      </w:r>
      <w:r>
        <w:rPr>
          <w:color w:val="222222"/>
        </w:rPr>
        <w:t xml:space="preserve"> - ETFMG Prime Mobile Payments ETF</w:t>
      </w:r>
    </w:p>
    <w:p w14:paraId="1B5A8400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KWEB</w:t>
      </w:r>
      <w:r>
        <w:rPr>
          <w:color w:val="222222"/>
        </w:rPr>
        <w:t xml:space="preserve"> - </w:t>
      </w:r>
      <w:proofErr w:type="spellStart"/>
      <w:r>
        <w:rPr>
          <w:color w:val="222222"/>
        </w:rPr>
        <w:t>KraneShares</w:t>
      </w:r>
      <w:proofErr w:type="spellEnd"/>
      <w:r>
        <w:rPr>
          <w:color w:val="222222"/>
        </w:rPr>
        <w:t xml:space="preserve"> CSI China Internet ETF</w:t>
      </w:r>
    </w:p>
    <w:p w14:paraId="7A86AE4A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SKYY</w:t>
      </w:r>
      <w:r>
        <w:rPr>
          <w:color w:val="222222"/>
        </w:rPr>
        <w:t xml:space="preserve"> - First Trust Cloud Computing ETF</w:t>
      </w:r>
    </w:p>
    <w:p w14:paraId="1BD9593A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SMH</w:t>
      </w:r>
      <w:r>
        <w:rPr>
          <w:color w:val="222222"/>
        </w:rPr>
        <w:t xml:space="preserve"> - </w:t>
      </w:r>
      <w:proofErr w:type="spellStart"/>
      <w:r>
        <w:rPr>
          <w:color w:val="222222"/>
        </w:rPr>
        <w:t>VanEck</w:t>
      </w:r>
      <w:proofErr w:type="spellEnd"/>
      <w:r>
        <w:rPr>
          <w:color w:val="222222"/>
        </w:rPr>
        <w:t xml:space="preserve"> Vectors Semiconductor ETF</w:t>
      </w:r>
    </w:p>
    <w:p w14:paraId="7C40C1C9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SOCL</w:t>
      </w:r>
      <w:r>
        <w:rPr>
          <w:color w:val="222222"/>
        </w:rPr>
        <w:t xml:space="preserve"> - Global X Funds - Global X </w:t>
      </w:r>
      <w:proofErr w:type="gramStart"/>
      <w:r>
        <w:rPr>
          <w:color w:val="222222"/>
        </w:rPr>
        <w:t>Social Media ETF</w:t>
      </w:r>
      <w:proofErr w:type="gramEnd"/>
    </w:p>
    <w:p w14:paraId="5B57334E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XLC</w:t>
      </w:r>
      <w:r>
        <w:rPr>
          <w:color w:val="222222"/>
        </w:rPr>
        <w:t xml:space="preserve"> - Communication Services Select Sector SPDR Fund</w:t>
      </w:r>
    </w:p>
    <w:p w14:paraId="3B5817C5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QQQJ</w:t>
      </w:r>
      <w:r>
        <w:rPr>
          <w:color w:val="222222"/>
        </w:rPr>
        <w:t xml:space="preserve"> - Invesco NASDAQ Next Gen 100 ETF</w:t>
      </w:r>
    </w:p>
    <w:p w14:paraId="3D94B1A4" w14:textId="77777777" w:rsidR="00D22602" w:rsidRDefault="00D22602">
      <w:pPr>
        <w:jc w:val="both"/>
        <w:rPr>
          <w:rFonts w:ascii="Libre Baskerville" w:eastAsia="Libre Baskerville" w:hAnsi="Libre Baskerville" w:cs="Libre Baskerville"/>
          <w:b/>
          <w:color w:val="0000FF"/>
          <w:sz w:val="24"/>
          <w:szCs w:val="24"/>
        </w:rPr>
      </w:pPr>
    </w:p>
    <w:p w14:paraId="0C6FA896" w14:textId="77777777" w:rsidR="00D22602" w:rsidRDefault="00026AB4">
      <w:pPr>
        <w:jc w:val="both"/>
        <w:rPr>
          <w:rFonts w:ascii="Libre Baskerville" w:eastAsia="Libre Baskerville" w:hAnsi="Libre Baskerville" w:cs="Libre Baskerville"/>
          <w:b/>
          <w:color w:val="0000FF"/>
          <w:sz w:val="24"/>
          <w:szCs w:val="24"/>
        </w:rPr>
      </w:pPr>
      <w:r>
        <w:rPr>
          <w:rFonts w:ascii="Libre Baskerville" w:eastAsia="Libre Baskerville" w:hAnsi="Libre Baskerville" w:cs="Libre Baskerville"/>
          <w:b/>
          <w:color w:val="134F5C"/>
          <w:sz w:val="24"/>
          <w:szCs w:val="24"/>
          <w:u w:val="single"/>
        </w:rPr>
        <w:t>Discretionary spending:</w:t>
      </w:r>
    </w:p>
    <w:p w14:paraId="32A34B53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BETZ</w:t>
      </w:r>
      <w:r>
        <w:rPr>
          <w:color w:val="222222"/>
        </w:rPr>
        <w:t xml:space="preserve"> - </w:t>
      </w:r>
      <w:proofErr w:type="spellStart"/>
      <w:r>
        <w:rPr>
          <w:color w:val="222222"/>
        </w:rPr>
        <w:t>Roundhill</w:t>
      </w:r>
      <w:proofErr w:type="spellEnd"/>
      <w:r>
        <w:rPr>
          <w:color w:val="222222"/>
        </w:rPr>
        <w:t xml:space="preserve"> Sports Betting &amp; iGaming ETF</w:t>
      </w:r>
    </w:p>
    <w:p w14:paraId="3D8D77E8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BJK</w:t>
      </w:r>
      <w:r>
        <w:rPr>
          <w:color w:val="222222"/>
        </w:rPr>
        <w:t xml:space="preserve"> - </w:t>
      </w:r>
      <w:proofErr w:type="spellStart"/>
      <w:r>
        <w:rPr>
          <w:color w:val="222222"/>
        </w:rPr>
        <w:t>V</w:t>
      </w:r>
      <w:r>
        <w:rPr>
          <w:color w:val="222222"/>
        </w:rPr>
        <w:t>anEck</w:t>
      </w:r>
      <w:proofErr w:type="spellEnd"/>
      <w:r>
        <w:rPr>
          <w:color w:val="222222"/>
        </w:rPr>
        <w:t xml:space="preserve"> Vectors Gaming ETF</w:t>
      </w:r>
    </w:p>
    <w:p w14:paraId="773DE76E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CHIQ</w:t>
      </w:r>
      <w:r>
        <w:rPr>
          <w:color w:val="222222"/>
        </w:rPr>
        <w:t xml:space="preserve"> - Global X MSCI China Consumer Disc ETF</w:t>
      </w:r>
    </w:p>
    <w:p w14:paraId="1CE4533C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ESPO</w:t>
      </w:r>
      <w:r>
        <w:rPr>
          <w:color w:val="222222"/>
        </w:rPr>
        <w:t xml:space="preserve"> - </w:t>
      </w:r>
      <w:proofErr w:type="spellStart"/>
      <w:r>
        <w:rPr>
          <w:color w:val="222222"/>
        </w:rPr>
        <w:t>VanEck</w:t>
      </w:r>
      <w:proofErr w:type="spellEnd"/>
      <w:r>
        <w:rPr>
          <w:color w:val="222222"/>
        </w:rPr>
        <w:t xml:space="preserve"> Vectors Video Gaming and eSports ETF</w:t>
      </w:r>
    </w:p>
    <w:p w14:paraId="7E59EA67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MJ</w:t>
      </w:r>
      <w:r>
        <w:rPr>
          <w:color w:val="222222"/>
        </w:rPr>
        <w:t xml:space="preserve"> - ETFMG Alternative Harvest ETF</w:t>
      </w:r>
    </w:p>
    <w:p w14:paraId="5A8267CE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 xml:space="preserve">PEJ </w:t>
      </w:r>
      <w:r>
        <w:rPr>
          <w:color w:val="222222"/>
        </w:rPr>
        <w:t>-</w:t>
      </w:r>
      <w:r>
        <w:rPr>
          <w:b/>
          <w:color w:val="222222"/>
        </w:rPr>
        <w:t xml:space="preserve"> </w:t>
      </w:r>
      <w:r>
        <w:rPr>
          <w:color w:val="222222"/>
        </w:rPr>
        <w:t>Invesco Dynamic Leisure and Entertainment ETF</w:t>
      </w:r>
    </w:p>
    <w:p w14:paraId="57D52360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RTH</w:t>
      </w:r>
      <w:r>
        <w:rPr>
          <w:color w:val="222222"/>
        </w:rPr>
        <w:t xml:space="preserve"> - </w:t>
      </w:r>
      <w:proofErr w:type="spellStart"/>
      <w:r>
        <w:rPr>
          <w:color w:val="222222"/>
        </w:rPr>
        <w:t>VanEck</w:t>
      </w:r>
      <w:proofErr w:type="spellEnd"/>
      <w:r>
        <w:rPr>
          <w:color w:val="222222"/>
        </w:rPr>
        <w:t xml:space="preserve"> Vectors Retail ETF</w:t>
      </w:r>
    </w:p>
    <w:p w14:paraId="26BAF60A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TRYP</w:t>
      </w:r>
      <w:r>
        <w:rPr>
          <w:color w:val="222222"/>
        </w:rPr>
        <w:t xml:space="preserve"> - </w:t>
      </w:r>
      <w:proofErr w:type="spellStart"/>
      <w:r>
        <w:rPr>
          <w:color w:val="222222"/>
        </w:rPr>
        <w:t>SonicShares</w:t>
      </w:r>
      <w:proofErr w:type="spellEnd"/>
      <w:r>
        <w:rPr>
          <w:color w:val="222222"/>
        </w:rPr>
        <w:t xml:space="preserve"> Airlines, Hotels, Cruise Lines ETF</w:t>
      </w:r>
    </w:p>
    <w:p w14:paraId="6D7DA124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XLY</w:t>
      </w:r>
      <w:r>
        <w:rPr>
          <w:color w:val="222222"/>
        </w:rPr>
        <w:t xml:space="preserve"> - Consumer Discretionary Select Sector SPDR Fund</w:t>
      </w:r>
    </w:p>
    <w:p w14:paraId="079BD52C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lastRenderedPageBreak/>
        <w:t>XRT</w:t>
      </w:r>
      <w:r>
        <w:rPr>
          <w:color w:val="222222"/>
        </w:rPr>
        <w:t xml:space="preserve"> - SPDR S&amp;P Retail ETF</w:t>
      </w:r>
    </w:p>
    <w:p w14:paraId="004DAC77" w14:textId="77777777" w:rsidR="00D22602" w:rsidRDefault="00D22602">
      <w:pPr>
        <w:jc w:val="both"/>
        <w:rPr>
          <w:rFonts w:ascii="Libre Baskerville" w:eastAsia="Libre Baskerville" w:hAnsi="Libre Baskerville" w:cs="Libre Baskerville"/>
          <w:b/>
          <w:color w:val="0000FF"/>
          <w:sz w:val="24"/>
          <w:szCs w:val="24"/>
        </w:rPr>
      </w:pPr>
    </w:p>
    <w:p w14:paraId="3EDDFC8A" w14:textId="77777777" w:rsidR="00D22602" w:rsidRDefault="00026AB4">
      <w:pPr>
        <w:jc w:val="both"/>
        <w:rPr>
          <w:rFonts w:ascii="Libre Baskerville" w:eastAsia="Libre Baskerville" w:hAnsi="Libre Baskerville" w:cs="Libre Baskerville"/>
          <w:b/>
          <w:color w:val="0000FF"/>
          <w:sz w:val="24"/>
          <w:szCs w:val="24"/>
        </w:rPr>
      </w:pPr>
      <w:r>
        <w:rPr>
          <w:rFonts w:ascii="Libre Baskerville" w:eastAsia="Libre Baskerville" w:hAnsi="Libre Baskerville" w:cs="Libre Baskerville"/>
          <w:b/>
          <w:color w:val="134F5C"/>
          <w:sz w:val="24"/>
          <w:szCs w:val="24"/>
          <w:u w:val="single"/>
        </w:rPr>
        <w:t>Real estate:</w:t>
      </w:r>
    </w:p>
    <w:p w14:paraId="652E1386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REM</w:t>
      </w:r>
      <w:r>
        <w:rPr>
          <w:color w:val="222222"/>
        </w:rPr>
        <w:t xml:space="preserve"> - iShares Mortgage Real Estate Capped ETF</w:t>
      </w:r>
    </w:p>
    <w:p w14:paraId="33AFD84B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REZ</w:t>
      </w:r>
      <w:r>
        <w:rPr>
          <w:color w:val="222222"/>
        </w:rPr>
        <w:t xml:space="preserve"> - iShares Residential and Multisector Real Estate ETF</w:t>
      </w:r>
    </w:p>
    <w:p w14:paraId="7C097C33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RWO</w:t>
      </w:r>
      <w:r>
        <w:rPr>
          <w:color w:val="222222"/>
        </w:rPr>
        <w:t xml:space="preserve"> - SPDR Dow Jones Global Real Estate ETF</w:t>
      </w:r>
    </w:p>
    <w:p w14:paraId="12EEB142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SRVR</w:t>
      </w:r>
      <w:r>
        <w:rPr>
          <w:color w:val="222222"/>
        </w:rPr>
        <w:t xml:space="preserve"> - Pacer Benchmark Data &amp; Infrastructure Real Estate SCTR ETF</w:t>
      </w:r>
    </w:p>
    <w:p w14:paraId="6A12E6D9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VNQ</w:t>
      </w:r>
      <w:r>
        <w:rPr>
          <w:color w:val="222222"/>
        </w:rPr>
        <w:t xml:space="preserve"> - Vanguard Real Estate Index Fund ETF</w:t>
      </w:r>
    </w:p>
    <w:p w14:paraId="722F03AC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VNQ</w:t>
      </w:r>
      <w:r>
        <w:rPr>
          <w:b/>
          <w:color w:val="222222"/>
        </w:rPr>
        <w:t>I</w:t>
      </w:r>
      <w:r>
        <w:rPr>
          <w:color w:val="222222"/>
        </w:rPr>
        <w:t xml:space="preserve"> - Vanguard Global ex-U.S. Real Estate Index Fund ETF</w:t>
      </w:r>
    </w:p>
    <w:p w14:paraId="10ACCC75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XHB</w:t>
      </w:r>
      <w:r>
        <w:rPr>
          <w:color w:val="222222"/>
        </w:rPr>
        <w:t xml:space="preserve"> - SPDR S&amp;P Homebuilders ETF</w:t>
      </w:r>
    </w:p>
    <w:p w14:paraId="502C586E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XLRE</w:t>
      </w:r>
      <w:r>
        <w:rPr>
          <w:color w:val="222222"/>
        </w:rPr>
        <w:t xml:space="preserve"> - The Real Estate Select Sector SPDR Fund</w:t>
      </w:r>
    </w:p>
    <w:p w14:paraId="50494914" w14:textId="77777777" w:rsidR="00D22602" w:rsidRDefault="00D22602">
      <w:pPr>
        <w:shd w:val="clear" w:color="auto" w:fill="FFFFFF"/>
        <w:jc w:val="both"/>
        <w:rPr>
          <w:color w:val="222222"/>
          <w:highlight w:val="green"/>
        </w:rPr>
      </w:pPr>
    </w:p>
    <w:p w14:paraId="26856B4B" w14:textId="77777777" w:rsidR="00D22602" w:rsidRDefault="00026AB4">
      <w:pPr>
        <w:jc w:val="both"/>
        <w:rPr>
          <w:rFonts w:ascii="Libre Baskerville" w:eastAsia="Libre Baskerville" w:hAnsi="Libre Baskerville" w:cs="Libre Baskerville"/>
          <w:b/>
          <w:color w:val="0000FF"/>
          <w:sz w:val="24"/>
          <w:szCs w:val="24"/>
        </w:rPr>
      </w:pPr>
      <w:r>
        <w:rPr>
          <w:rFonts w:ascii="Libre Baskerville" w:eastAsia="Libre Baskerville" w:hAnsi="Libre Baskerville" w:cs="Libre Baskerville"/>
          <w:b/>
          <w:color w:val="134F5C"/>
          <w:sz w:val="24"/>
          <w:szCs w:val="24"/>
          <w:u w:val="single"/>
        </w:rPr>
        <w:t>Healthcare:</w:t>
      </w:r>
    </w:p>
    <w:p w14:paraId="6771ECB8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IBB</w:t>
      </w:r>
      <w:r>
        <w:rPr>
          <w:color w:val="222222"/>
        </w:rPr>
        <w:t xml:space="preserve"> - iShares Biotechnology ETF</w:t>
      </w:r>
    </w:p>
    <w:p w14:paraId="18932BD5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IHI</w:t>
      </w:r>
      <w:r>
        <w:rPr>
          <w:color w:val="222222"/>
        </w:rPr>
        <w:t xml:space="preserve"> - iShares U.S. Medical Devices ETF</w:t>
      </w:r>
    </w:p>
    <w:p w14:paraId="61054DD0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PJP</w:t>
      </w:r>
      <w:r>
        <w:rPr>
          <w:color w:val="222222"/>
        </w:rPr>
        <w:t xml:space="preserve"> - Invesco Dynamic Pharmaceuticals </w:t>
      </w:r>
      <w:r>
        <w:rPr>
          <w:color w:val="222222"/>
        </w:rPr>
        <w:t>ETF</w:t>
      </w:r>
    </w:p>
    <w:p w14:paraId="238710B0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SBIO</w:t>
      </w:r>
      <w:r>
        <w:rPr>
          <w:color w:val="222222"/>
        </w:rPr>
        <w:t xml:space="preserve"> - ALPS Medical Breakthroughs ETF</w:t>
      </w:r>
    </w:p>
    <w:p w14:paraId="0F97E78A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XLV</w:t>
      </w:r>
      <w:r>
        <w:rPr>
          <w:color w:val="222222"/>
        </w:rPr>
        <w:t xml:space="preserve"> - Health Care Select Sector SPDR Fund</w:t>
      </w:r>
    </w:p>
    <w:p w14:paraId="519A4411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XBI</w:t>
      </w:r>
      <w:r>
        <w:rPr>
          <w:color w:val="222222"/>
        </w:rPr>
        <w:t xml:space="preserve"> - SPDR S&amp;P Biotech ETF</w:t>
      </w:r>
    </w:p>
    <w:p w14:paraId="26321D17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XHE</w:t>
      </w:r>
      <w:r>
        <w:rPr>
          <w:color w:val="222222"/>
        </w:rPr>
        <w:t xml:space="preserve"> - SPDR S&amp;P Health Care Equipment ETF</w:t>
      </w:r>
    </w:p>
    <w:p w14:paraId="6B92B7D2" w14:textId="77777777" w:rsidR="00D22602" w:rsidRDefault="00D22602">
      <w:pPr>
        <w:shd w:val="clear" w:color="auto" w:fill="FFFFFF"/>
        <w:jc w:val="both"/>
        <w:rPr>
          <w:color w:val="222222"/>
        </w:rPr>
      </w:pPr>
    </w:p>
    <w:p w14:paraId="76A2E387" w14:textId="77777777" w:rsidR="00D22602" w:rsidRDefault="00026AB4">
      <w:pPr>
        <w:jc w:val="both"/>
        <w:rPr>
          <w:rFonts w:ascii="Libre Baskerville" w:eastAsia="Libre Baskerville" w:hAnsi="Libre Baskerville" w:cs="Libre Baskerville"/>
          <w:b/>
          <w:color w:val="0000FF"/>
          <w:sz w:val="24"/>
          <w:szCs w:val="24"/>
        </w:rPr>
      </w:pPr>
      <w:r>
        <w:rPr>
          <w:rFonts w:ascii="Libre Baskerville" w:eastAsia="Libre Baskerville" w:hAnsi="Libre Baskerville" w:cs="Libre Baskerville"/>
          <w:b/>
          <w:color w:val="134F5C"/>
          <w:sz w:val="24"/>
          <w:szCs w:val="24"/>
          <w:u w:val="single"/>
        </w:rPr>
        <w:t>Bonds:</w:t>
      </w:r>
    </w:p>
    <w:p w14:paraId="61FFB624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EMB</w:t>
      </w:r>
      <w:r>
        <w:rPr>
          <w:color w:val="222222"/>
        </w:rPr>
        <w:t xml:space="preserve"> - iShares J.P. Morgan USD Emerging Markets Bond ETF</w:t>
      </w:r>
    </w:p>
    <w:p w14:paraId="29FB65E9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HYG</w:t>
      </w:r>
      <w:r>
        <w:rPr>
          <w:color w:val="222222"/>
        </w:rPr>
        <w:t xml:space="preserve"> - iShares </w:t>
      </w:r>
      <w:proofErr w:type="spellStart"/>
      <w:r>
        <w:rPr>
          <w:color w:val="222222"/>
        </w:rPr>
        <w:t>iBoxx</w:t>
      </w:r>
      <w:proofErr w:type="spellEnd"/>
      <w:r>
        <w:rPr>
          <w:color w:val="222222"/>
        </w:rPr>
        <w:t xml:space="preserve"> $ High Yield Corporate Bond ETF</w:t>
      </w:r>
    </w:p>
    <w:p w14:paraId="2C816586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HYXU</w:t>
      </w:r>
      <w:r>
        <w:rPr>
          <w:color w:val="222222"/>
        </w:rPr>
        <w:t xml:space="preserve"> - iShares International High Yield Bond ETF</w:t>
      </w:r>
    </w:p>
    <w:p w14:paraId="7B20A343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IVOL</w:t>
      </w:r>
      <w:r>
        <w:rPr>
          <w:color w:val="222222"/>
        </w:rPr>
        <w:t xml:space="preserve"> - Quadratic Interest Rate Volatility and Inflation Hedge ETF</w:t>
      </w:r>
    </w:p>
    <w:p w14:paraId="2E243C86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JEPI</w:t>
      </w:r>
      <w:r>
        <w:rPr>
          <w:color w:val="222222"/>
        </w:rPr>
        <w:t xml:space="preserve"> - JPMorgan Equity Premium Incom</w:t>
      </w:r>
      <w:r>
        <w:rPr>
          <w:color w:val="222222"/>
        </w:rPr>
        <w:t>e ETF</w:t>
      </w:r>
    </w:p>
    <w:p w14:paraId="3F32ABD5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LQD</w:t>
      </w:r>
      <w:r>
        <w:rPr>
          <w:color w:val="222222"/>
        </w:rPr>
        <w:t xml:space="preserve"> - iShares </w:t>
      </w:r>
      <w:proofErr w:type="spellStart"/>
      <w:r>
        <w:rPr>
          <w:color w:val="222222"/>
        </w:rPr>
        <w:t>iBoxx</w:t>
      </w:r>
      <w:proofErr w:type="spellEnd"/>
      <w:r>
        <w:rPr>
          <w:color w:val="222222"/>
        </w:rPr>
        <w:t xml:space="preserve"> $ Investment Grade Corporate Bond ETF</w:t>
      </w:r>
    </w:p>
    <w:p w14:paraId="15F6EB57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TAIL</w:t>
      </w:r>
      <w:r>
        <w:rPr>
          <w:color w:val="222222"/>
        </w:rPr>
        <w:t xml:space="preserve"> - Cambria Tail Risk ETF</w:t>
      </w:r>
    </w:p>
    <w:p w14:paraId="3CAF1DBB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TIP</w:t>
      </w:r>
      <w:r>
        <w:rPr>
          <w:color w:val="222222"/>
        </w:rPr>
        <w:t xml:space="preserve"> - iShares TIPS Bond ETF</w:t>
      </w:r>
    </w:p>
    <w:p w14:paraId="25146075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TLT</w:t>
      </w:r>
      <w:r>
        <w:rPr>
          <w:color w:val="222222"/>
        </w:rPr>
        <w:t xml:space="preserve"> - iShares 20+ Year Treasury Bond ETF</w:t>
      </w:r>
    </w:p>
    <w:p w14:paraId="19C533F6" w14:textId="77777777" w:rsidR="00D22602" w:rsidRDefault="00D22602">
      <w:pPr>
        <w:jc w:val="both"/>
        <w:rPr>
          <w:rFonts w:ascii="Libre Baskerville" w:eastAsia="Libre Baskerville" w:hAnsi="Libre Baskerville" w:cs="Libre Baskerville"/>
          <w:b/>
          <w:color w:val="0000FF"/>
          <w:sz w:val="24"/>
          <w:szCs w:val="24"/>
        </w:rPr>
      </w:pPr>
    </w:p>
    <w:p w14:paraId="3D671479" w14:textId="77777777" w:rsidR="00D22602" w:rsidRDefault="00026AB4">
      <w:pPr>
        <w:jc w:val="both"/>
        <w:rPr>
          <w:rFonts w:ascii="Libre Baskerville" w:eastAsia="Libre Baskerville" w:hAnsi="Libre Baskerville" w:cs="Libre Baskerville"/>
          <w:b/>
          <w:color w:val="0000FF"/>
          <w:sz w:val="24"/>
          <w:szCs w:val="24"/>
        </w:rPr>
      </w:pPr>
      <w:r>
        <w:rPr>
          <w:rFonts w:ascii="Libre Baskerville" w:eastAsia="Libre Baskerville" w:hAnsi="Libre Baskerville" w:cs="Libre Baskerville"/>
          <w:b/>
          <w:color w:val="134F5C"/>
          <w:sz w:val="24"/>
          <w:szCs w:val="24"/>
          <w:u w:val="single"/>
        </w:rPr>
        <w:t>Other:</w:t>
      </w:r>
    </w:p>
    <w:p w14:paraId="368930F6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ACIO</w:t>
      </w:r>
      <w:r>
        <w:rPr>
          <w:color w:val="222222"/>
        </w:rPr>
        <w:t xml:space="preserve"> - </w:t>
      </w:r>
      <w:proofErr w:type="spellStart"/>
      <w:r>
        <w:rPr>
          <w:color w:val="222222"/>
        </w:rPr>
        <w:t>Aptus</w:t>
      </w:r>
      <w:proofErr w:type="spellEnd"/>
      <w:r>
        <w:rPr>
          <w:color w:val="222222"/>
        </w:rPr>
        <w:t xml:space="preserve"> Collared Income Opportunity ETF</w:t>
      </w:r>
    </w:p>
    <w:p w14:paraId="48282063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BDRY</w:t>
      </w:r>
      <w:r>
        <w:rPr>
          <w:color w:val="222222"/>
        </w:rPr>
        <w:t xml:space="preserve"> - </w:t>
      </w:r>
      <w:proofErr w:type="spellStart"/>
      <w:r>
        <w:rPr>
          <w:color w:val="222222"/>
        </w:rPr>
        <w:t>Breakwave</w:t>
      </w:r>
      <w:proofErr w:type="spellEnd"/>
      <w:r>
        <w:rPr>
          <w:color w:val="222222"/>
        </w:rPr>
        <w:t xml:space="preserve"> Dry Bulk Shipping ETF</w:t>
      </w:r>
    </w:p>
    <w:p w14:paraId="466F59B2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CLIX</w:t>
      </w:r>
      <w:r>
        <w:rPr>
          <w:color w:val="222222"/>
        </w:rPr>
        <w:t xml:space="preserve"> - </w:t>
      </w:r>
      <w:proofErr w:type="spellStart"/>
      <w:r>
        <w:rPr>
          <w:color w:val="222222"/>
        </w:rPr>
        <w:t>ProShares</w:t>
      </w:r>
      <w:proofErr w:type="spellEnd"/>
      <w:r>
        <w:rPr>
          <w:color w:val="222222"/>
        </w:rPr>
        <w:t xml:space="preserve"> Long Online/Short Stores ETF</w:t>
      </w:r>
    </w:p>
    <w:p w14:paraId="38D0D270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COWZ</w:t>
      </w:r>
      <w:r>
        <w:rPr>
          <w:color w:val="222222"/>
        </w:rPr>
        <w:t xml:space="preserve"> - Pacer US Cash Cows 100 ETF</w:t>
      </w:r>
    </w:p>
    <w:p w14:paraId="3E25E52F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CWB</w:t>
      </w:r>
      <w:r>
        <w:rPr>
          <w:color w:val="222222"/>
        </w:rPr>
        <w:t xml:space="preserve"> - SPDR Bloomberg Barclays Convertible Securities ETF</w:t>
      </w:r>
    </w:p>
    <w:p w14:paraId="4ED61563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DVOL</w:t>
      </w:r>
      <w:r>
        <w:rPr>
          <w:color w:val="222222"/>
        </w:rPr>
        <w:t xml:space="preserve"> - First Trust Dorsey Wright Momentum &amp; Low Volatility ETF</w:t>
      </w:r>
    </w:p>
    <w:p w14:paraId="05FF6497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FPX</w:t>
      </w:r>
      <w:r>
        <w:rPr>
          <w:color w:val="222222"/>
        </w:rPr>
        <w:t xml:space="preserve"> - First Trust US </w:t>
      </w:r>
      <w:r>
        <w:rPr>
          <w:color w:val="222222"/>
        </w:rPr>
        <w:t>Equity Opportunities ETF</w:t>
      </w:r>
    </w:p>
    <w:p w14:paraId="31C29E5E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FTLS</w:t>
      </w:r>
      <w:r>
        <w:rPr>
          <w:color w:val="222222"/>
        </w:rPr>
        <w:t xml:space="preserve"> - First Trust Long/Short Equity ETF</w:t>
      </w:r>
    </w:p>
    <w:p w14:paraId="124247C1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IBUY</w:t>
      </w:r>
      <w:r>
        <w:rPr>
          <w:color w:val="222222"/>
        </w:rPr>
        <w:t xml:space="preserve"> - Amplify Online Retail ETF</w:t>
      </w:r>
    </w:p>
    <w:p w14:paraId="13C77528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IGF</w:t>
      </w:r>
      <w:r>
        <w:rPr>
          <w:color w:val="222222"/>
        </w:rPr>
        <w:t xml:space="preserve"> - iShares Global Infrastructure ETF</w:t>
      </w:r>
    </w:p>
    <w:p w14:paraId="65E6424A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IJS</w:t>
      </w:r>
      <w:r>
        <w:rPr>
          <w:color w:val="222222"/>
        </w:rPr>
        <w:t xml:space="preserve"> - iShares S&amp;P Small-Cap 600 Value ETF</w:t>
      </w:r>
    </w:p>
    <w:p w14:paraId="4D8A0B04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INFL</w:t>
      </w:r>
      <w:r>
        <w:rPr>
          <w:color w:val="222222"/>
        </w:rPr>
        <w:t xml:space="preserve"> - Horizon Kinetics Inflation Beneficiaries ETF</w:t>
      </w:r>
    </w:p>
    <w:p w14:paraId="43D57524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ITA</w:t>
      </w:r>
      <w:r>
        <w:rPr>
          <w:color w:val="222222"/>
        </w:rPr>
        <w:t xml:space="preserve"> - iShares U.S. Aero</w:t>
      </w:r>
      <w:r>
        <w:rPr>
          <w:color w:val="222222"/>
        </w:rPr>
        <w:t xml:space="preserve">space &amp; </w:t>
      </w:r>
      <w:proofErr w:type="spellStart"/>
      <w:r>
        <w:rPr>
          <w:color w:val="222222"/>
        </w:rPr>
        <w:t>Defense</w:t>
      </w:r>
      <w:proofErr w:type="spellEnd"/>
      <w:r>
        <w:rPr>
          <w:color w:val="222222"/>
        </w:rPr>
        <w:t xml:space="preserve"> ETF</w:t>
      </w:r>
    </w:p>
    <w:p w14:paraId="6EFBB400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IYT</w:t>
      </w:r>
      <w:r>
        <w:rPr>
          <w:color w:val="222222"/>
        </w:rPr>
        <w:t xml:space="preserve"> - iShares Transportation Average ETF</w:t>
      </w:r>
    </w:p>
    <w:p w14:paraId="4935609B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JETS</w:t>
      </w:r>
      <w:r>
        <w:rPr>
          <w:color w:val="222222"/>
        </w:rPr>
        <w:t xml:space="preserve"> - U.S. Global Jets ETF</w:t>
      </w:r>
    </w:p>
    <w:p w14:paraId="1FC7F6D9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lastRenderedPageBreak/>
        <w:t>KNG</w:t>
      </w:r>
      <w:r>
        <w:rPr>
          <w:color w:val="222222"/>
        </w:rPr>
        <w:t xml:space="preserve"> - FT </w:t>
      </w:r>
      <w:proofErr w:type="spellStart"/>
      <w:r>
        <w:rPr>
          <w:color w:val="222222"/>
        </w:rPr>
        <w:t>Cboe</w:t>
      </w:r>
      <w:proofErr w:type="spellEnd"/>
      <w:r>
        <w:rPr>
          <w:color w:val="222222"/>
        </w:rPr>
        <w:t xml:space="preserve"> Vest S&amp;P 500 Dividend Aristocrats Target Income ETF</w:t>
      </w:r>
    </w:p>
    <w:p w14:paraId="5555A2D2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MOAT</w:t>
      </w:r>
      <w:r>
        <w:rPr>
          <w:color w:val="222222"/>
        </w:rPr>
        <w:t xml:space="preserve"> - </w:t>
      </w:r>
      <w:proofErr w:type="spellStart"/>
      <w:r>
        <w:rPr>
          <w:color w:val="222222"/>
        </w:rPr>
        <w:t>VanEck</w:t>
      </w:r>
      <w:proofErr w:type="spellEnd"/>
      <w:r>
        <w:rPr>
          <w:color w:val="222222"/>
        </w:rPr>
        <w:t xml:space="preserve"> Vectors Morningstar Wide Moat ETF</w:t>
      </w:r>
    </w:p>
    <w:p w14:paraId="515430C6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PAVE</w:t>
      </w:r>
      <w:r>
        <w:rPr>
          <w:color w:val="222222"/>
        </w:rPr>
        <w:t xml:space="preserve"> - Global X U.S. Infrastructure Development ETF</w:t>
      </w:r>
    </w:p>
    <w:p w14:paraId="25DFF7A5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PFF</w:t>
      </w:r>
      <w:r>
        <w:rPr>
          <w:color w:val="222222"/>
        </w:rPr>
        <w:t xml:space="preserve"> - iShares Preferred and Income Securities ETF</w:t>
      </w:r>
    </w:p>
    <w:p w14:paraId="1C2C3502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PHO</w:t>
      </w:r>
      <w:r>
        <w:rPr>
          <w:color w:val="222222"/>
        </w:rPr>
        <w:t xml:space="preserve"> - Invesco Water Resources ETF</w:t>
      </w:r>
    </w:p>
    <w:p w14:paraId="66FA4CD0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PKW</w:t>
      </w:r>
      <w:r>
        <w:rPr>
          <w:color w:val="222222"/>
        </w:rPr>
        <w:t xml:space="preserve"> - Invesco </w:t>
      </w:r>
      <w:proofErr w:type="spellStart"/>
      <w:r>
        <w:rPr>
          <w:color w:val="222222"/>
        </w:rPr>
        <w:t>BuyBack</w:t>
      </w:r>
      <w:proofErr w:type="spellEnd"/>
      <w:r>
        <w:rPr>
          <w:color w:val="222222"/>
        </w:rPr>
        <w:t xml:space="preserve"> Achievers ETF</w:t>
      </w:r>
    </w:p>
    <w:p w14:paraId="2B61C585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QUAL</w:t>
      </w:r>
      <w:r>
        <w:rPr>
          <w:color w:val="222222"/>
        </w:rPr>
        <w:t xml:space="preserve"> - iShares MSCI USA Quality Factor ETF</w:t>
      </w:r>
    </w:p>
    <w:p w14:paraId="60E33FC1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SYLD</w:t>
      </w:r>
      <w:r>
        <w:rPr>
          <w:color w:val="222222"/>
        </w:rPr>
        <w:t xml:space="preserve"> - Cambria Shareholder Yield ETF</w:t>
      </w:r>
    </w:p>
    <w:p w14:paraId="0911B10C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VIG</w:t>
      </w:r>
      <w:r>
        <w:rPr>
          <w:color w:val="222222"/>
        </w:rPr>
        <w:t xml:space="preserve"> - Vanguard Dividend Appreciation Index Fund ETF</w:t>
      </w:r>
    </w:p>
    <w:p w14:paraId="06C1DC59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VIGI</w:t>
      </w:r>
      <w:r>
        <w:rPr>
          <w:color w:val="222222"/>
        </w:rPr>
        <w:t xml:space="preserve"> - Vanguard International Dividend Appreciation Index Fund ETF</w:t>
      </w:r>
    </w:p>
    <w:p w14:paraId="562F04A4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USMV</w:t>
      </w:r>
      <w:r>
        <w:rPr>
          <w:color w:val="222222"/>
        </w:rPr>
        <w:t xml:space="preserve"> - iShares MSCI USA Min Vol Factor ETF</w:t>
      </w:r>
    </w:p>
    <w:p w14:paraId="64D1FE43" w14:textId="77777777" w:rsidR="00D22602" w:rsidRDefault="00026AB4">
      <w:pPr>
        <w:shd w:val="clear" w:color="auto" w:fill="FFFFFF"/>
        <w:jc w:val="both"/>
        <w:rPr>
          <w:color w:val="222222"/>
        </w:rPr>
      </w:pPr>
      <w:r>
        <w:rPr>
          <w:b/>
          <w:color w:val="222222"/>
        </w:rPr>
        <w:t>VTV</w:t>
      </w:r>
      <w:r>
        <w:rPr>
          <w:color w:val="222222"/>
        </w:rPr>
        <w:t xml:space="preserve"> - Vanguard Value Index Fund ETF</w:t>
      </w:r>
    </w:p>
    <w:p w14:paraId="671445C0" w14:textId="77777777" w:rsidR="00D22602" w:rsidRDefault="00026AB4">
      <w:pPr>
        <w:shd w:val="clear" w:color="auto" w:fill="FFFFFF"/>
        <w:jc w:val="both"/>
        <w:rPr>
          <w:b/>
          <w:color w:val="38761D"/>
        </w:rPr>
      </w:pPr>
      <w:r>
        <w:rPr>
          <w:b/>
          <w:color w:val="222222"/>
        </w:rPr>
        <w:t>XLI</w:t>
      </w:r>
      <w:r>
        <w:rPr>
          <w:color w:val="222222"/>
        </w:rPr>
        <w:t xml:space="preserve"> - Industrial Select Sector SPDR Fund</w:t>
      </w:r>
      <w:r>
        <w:br w:type="page"/>
      </w:r>
    </w:p>
    <w:p w14:paraId="0FC4C8CB" w14:textId="77777777" w:rsidR="00D22602" w:rsidRDefault="00026AB4">
      <w:pPr>
        <w:pStyle w:val="Heading1"/>
        <w:jc w:val="both"/>
        <w:rPr>
          <w:b/>
          <w:color w:val="38761D"/>
        </w:rPr>
      </w:pPr>
      <w:bookmarkStart w:id="6" w:name="_v9ormr3ftgcn" w:colFirst="0" w:colLast="0"/>
      <w:bookmarkEnd w:id="6"/>
      <w:r>
        <w:rPr>
          <w:b/>
          <w:color w:val="38761D"/>
        </w:rPr>
        <w:lastRenderedPageBreak/>
        <w:t>Results</w:t>
      </w:r>
    </w:p>
    <w:p w14:paraId="0B57D8C2" w14:textId="77777777" w:rsidR="00D22602" w:rsidRDefault="00026AB4">
      <w:pPr>
        <w:pStyle w:val="Heading2"/>
        <w:jc w:val="both"/>
      </w:pPr>
      <w:bookmarkStart w:id="7" w:name="_ab0ypn5cc3xd" w:colFirst="0" w:colLast="0"/>
      <w:bookmarkEnd w:id="7"/>
      <w:r>
        <w:rPr>
          <w:color w:val="0000FF"/>
        </w:rPr>
        <w:t xml:space="preserve">Our </w:t>
      </w:r>
      <w:proofErr w:type="spellStart"/>
      <w:r>
        <w:rPr>
          <w:color w:val="0000FF"/>
        </w:rPr>
        <w:t>backtes</w:t>
      </w:r>
      <w:r>
        <w:rPr>
          <w:color w:val="0000FF"/>
        </w:rPr>
        <w:t>ts</w:t>
      </w:r>
      <w:proofErr w:type="spellEnd"/>
    </w:p>
    <w:p w14:paraId="4423491E" w14:textId="77777777" w:rsidR="00D22602" w:rsidRDefault="00D22602">
      <w:pPr>
        <w:jc w:val="both"/>
      </w:pPr>
    </w:p>
    <w:p w14:paraId="18B8D80C" w14:textId="77777777" w:rsidR="00D22602" w:rsidRDefault="00026AB4">
      <w:pPr>
        <w:jc w:val="both"/>
      </w:pPr>
      <w:r>
        <w:rPr>
          <w:b/>
        </w:rPr>
        <w:t xml:space="preserve">Measuring and evaluating the performance of the ‘strategy’ recommended by </w:t>
      </w:r>
      <w:proofErr w:type="spellStart"/>
      <w:r>
        <w:rPr>
          <w:b/>
        </w:rPr>
        <w:t>Luby</w:t>
      </w:r>
      <w:proofErr w:type="spellEnd"/>
      <w:r>
        <w:rPr>
          <w:b/>
        </w:rPr>
        <w:t xml:space="preserve"> faces several difficulties</w:t>
      </w:r>
      <w:r>
        <w:t xml:space="preserve">. First of all, </w:t>
      </w:r>
      <w:r>
        <w:rPr>
          <w:b/>
        </w:rPr>
        <w:t xml:space="preserve">the prices used by </w:t>
      </w:r>
      <w:proofErr w:type="spellStart"/>
      <w:r>
        <w:rPr>
          <w:b/>
        </w:rPr>
        <w:t>Luby</w:t>
      </w:r>
      <w:proofErr w:type="spellEnd"/>
      <w:r>
        <w:rPr>
          <w:b/>
        </w:rPr>
        <w:t xml:space="preserve"> are not available during real-life trading</w:t>
      </w:r>
      <w:r>
        <w:t xml:space="preserve">, since the newsletter is sent after the market closes. He still </w:t>
      </w:r>
      <w:r>
        <w:t>uses these close prices (I mean in most cases when he doesn't want to cheat with the numbers). Furthermore, the</w:t>
      </w:r>
      <w:r>
        <w:rPr>
          <w:b/>
        </w:rPr>
        <w:t xml:space="preserve"> ETPs he recommends often struggle with liquidity issues</w:t>
      </w:r>
      <w:r>
        <w:t>, which again skews the results. Finally, the</w:t>
      </w:r>
      <w:r>
        <w:rPr>
          <w:b/>
        </w:rPr>
        <w:t xml:space="preserve"> biggest problem is the use of excessive ove</w:t>
      </w:r>
      <w:r>
        <w:rPr>
          <w:b/>
        </w:rPr>
        <w:t>r-leverage and (mostly leveraged) volatility ETPs</w:t>
      </w:r>
      <w:r>
        <w:t>.</w:t>
      </w:r>
      <w:r>
        <w:rPr>
          <w:b/>
        </w:rPr>
        <w:t xml:space="preserve"> Due to the combination of these, the strategies would have gone bankrupt in real life long ago (due to short volatility ETPs, the PV turns negative in many cases)</w:t>
      </w:r>
      <w:r>
        <w:t>. Despite all this, we could see what outst</w:t>
      </w:r>
      <w:r>
        <w:t xml:space="preserve">anding numbers </w:t>
      </w:r>
      <w:proofErr w:type="spellStart"/>
      <w:r>
        <w:t>Luby</w:t>
      </w:r>
      <w:proofErr w:type="spellEnd"/>
      <w:r>
        <w:t xml:space="preserve"> published. But how? We will reveal the secret soon. Stay tuned.</w:t>
      </w:r>
    </w:p>
    <w:p w14:paraId="0644F72A" w14:textId="77777777" w:rsidR="00D22602" w:rsidRDefault="00D22602">
      <w:pPr>
        <w:jc w:val="both"/>
      </w:pPr>
    </w:p>
    <w:p w14:paraId="1ECABF95" w14:textId="77777777" w:rsidR="00D22602" w:rsidRDefault="00026AB4">
      <w:pPr>
        <w:jc w:val="both"/>
      </w:pPr>
      <w:r>
        <w:t xml:space="preserve">In order to </w:t>
      </w:r>
      <w:r>
        <w:rPr>
          <w:rFonts w:ascii="Arial Unicode MS" w:eastAsia="Arial Unicode MS" w:hAnsi="Arial Unicode MS" w:cs="Arial Unicode MS"/>
          <w:b/>
        </w:rPr>
        <w:t xml:space="preserve">eliminate some of the above difficulties and measure their impact, we prepared the </w:t>
      </w:r>
      <w:proofErr w:type="spellStart"/>
      <w:r>
        <w:rPr>
          <w:rFonts w:ascii="Arial Unicode MS" w:eastAsia="Arial Unicode MS" w:hAnsi="Arial Unicode MS" w:cs="Arial Unicode MS"/>
          <w:b/>
        </w:rPr>
        <w:t>backtest</w:t>
      </w:r>
      <w:proofErr w:type="spellEnd"/>
      <w:r>
        <w:rPr>
          <w:rFonts w:ascii="Arial Unicode MS" w:eastAsia="Arial Unicode MS" w:hAnsi="Arial Unicode MS" w:cs="Arial Unicode MS"/>
          <w:b/>
        </w:rPr>
        <w:t xml:space="preserve"> of the strategy in </w:t>
      </w:r>
      <w:proofErr w:type="spellStart"/>
      <w:r>
        <w:rPr>
          <w:rFonts w:ascii="Arial Unicode MS" w:eastAsia="Arial Unicode MS" w:hAnsi="Arial Unicode MS" w:cs="Arial Unicode MS"/>
          <w:b/>
        </w:rPr>
        <w:t>SQDesktop</w:t>
      </w:r>
      <w:proofErr w:type="spellEnd"/>
      <w:r>
        <w:rPr>
          <w:rFonts w:ascii="Arial Unicode MS" w:eastAsia="Arial Unicode MS" w:hAnsi="Arial Unicode MS" w:cs="Arial Unicode MS"/>
          <w:b/>
        </w:rPr>
        <w:t xml:space="preserve"> (SQ, Experiment → </w:t>
      </w:r>
      <w:proofErr w:type="spellStart"/>
      <w:r>
        <w:rPr>
          <w:rFonts w:ascii="Arial Unicode MS" w:eastAsia="Arial Unicode MS" w:hAnsi="Arial Unicode MS" w:cs="Arial Unicode MS"/>
          <w:b/>
        </w:rPr>
        <w:t>Luby</w:t>
      </w:r>
      <w:proofErr w:type="spellEnd"/>
      <w:r>
        <w:rPr>
          <w:rFonts w:ascii="Arial Unicode MS" w:eastAsia="Arial Unicode MS" w:hAnsi="Arial Unicode MS" w:cs="Arial Unicode MS"/>
          <w:b/>
        </w:rPr>
        <w:t xml:space="preserve"> tests 2022) usi</w:t>
      </w:r>
      <w:r>
        <w:rPr>
          <w:rFonts w:ascii="Arial Unicode MS" w:eastAsia="Arial Unicode MS" w:hAnsi="Arial Unicode MS" w:cs="Arial Unicode MS"/>
          <w:b/>
        </w:rPr>
        <w:t>ng several different methods</w:t>
      </w:r>
      <w:r>
        <w:t>:</w:t>
      </w:r>
    </w:p>
    <w:p w14:paraId="632468E1" w14:textId="77777777" w:rsidR="00D22602" w:rsidRDefault="00026AB4">
      <w:pPr>
        <w:numPr>
          <w:ilvl w:val="0"/>
          <w:numId w:val="3"/>
        </w:numPr>
        <w:spacing w:before="120"/>
        <w:jc w:val="both"/>
        <w:rPr>
          <w:b/>
        </w:rPr>
      </w:pPr>
      <w:r>
        <w:rPr>
          <w:b/>
          <w:u w:val="single"/>
        </w:rPr>
        <w:t>Three types of prices:</w:t>
      </w:r>
    </w:p>
    <w:p w14:paraId="06D870F5" w14:textId="77777777" w:rsidR="00D22602" w:rsidRDefault="00026AB4">
      <w:pPr>
        <w:numPr>
          <w:ilvl w:val="1"/>
          <w:numId w:val="3"/>
        </w:numPr>
        <w:jc w:val="both"/>
      </w:pPr>
      <w:proofErr w:type="spellStart"/>
      <w:r>
        <w:rPr>
          <w:i/>
          <w:u w:val="single"/>
        </w:rPr>
        <w:t>Luby’s</w:t>
      </w:r>
      <w:proofErr w:type="spellEnd"/>
      <w:r>
        <w:rPr>
          <w:i/>
          <w:u w:val="single"/>
        </w:rPr>
        <w:t xml:space="preserve"> close price (or </w:t>
      </w:r>
      <w:proofErr w:type="spellStart"/>
      <w:r>
        <w:rPr>
          <w:i/>
          <w:u w:val="single"/>
        </w:rPr>
        <w:t>LubyDayClose</w:t>
      </w:r>
      <w:proofErr w:type="spellEnd"/>
      <w:r>
        <w:rPr>
          <w:i/>
          <w:u w:val="single"/>
        </w:rPr>
        <w:t>):</w:t>
      </w:r>
      <w:r>
        <w:t xml:space="preserve"> The price that </w:t>
      </w:r>
      <w:proofErr w:type="spellStart"/>
      <w:r>
        <w:t>Luby's</w:t>
      </w:r>
      <w:proofErr w:type="spellEnd"/>
      <w:r>
        <w:t xml:space="preserve"> uses most of the time. Achieving this is not possible in reality because we only receive the newsletter after the market closes.</w:t>
      </w:r>
    </w:p>
    <w:p w14:paraId="38722C17" w14:textId="77777777" w:rsidR="00D22602" w:rsidRDefault="00026AB4">
      <w:pPr>
        <w:numPr>
          <w:ilvl w:val="1"/>
          <w:numId w:val="3"/>
        </w:numPr>
        <w:jc w:val="both"/>
      </w:pPr>
      <w:r>
        <w:rPr>
          <w:i/>
          <w:u w:val="single"/>
        </w:rPr>
        <w:t>Next day open price:</w:t>
      </w:r>
      <w:r>
        <w:t xml:space="preserve"> This is the earliest tradeable price. It can be obtained by trading immediately after the newsletter arrives.</w:t>
      </w:r>
    </w:p>
    <w:p w14:paraId="0F1233F8" w14:textId="77777777" w:rsidR="00D22602" w:rsidRDefault="00026AB4">
      <w:pPr>
        <w:numPr>
          <w:ilvl w:val="1"/>
          <w:numId w:val="3"/>
        </w:numPr>
        <w:jc w:val="both"/>
      </w:pPr>
      <w:r>
        <w:rPr>
          <w:i/>
          <w:u w:val="single"/>
        </w:rPr>
        <w:t>Next day close price:</w:t>
      </w:r>
      <w:r>
        <w:t xml:space="preserve"> This is the most realistic price. In real-life trading, we use this too.</w:t>
      </w:r>
    </w:p>
    <w:p w14:paraId="48605AC1" w14:textId="77777777" w:rsidR="00D22602" w:rsidRDefault="00026AB4">
      <w:pPr>
        <w:numPr>
          <w:ilvl w:val="0"/>
          <w:numId w:val="3"/>
        </w:numPr>
        <w:spacing w:before="120"/>
        <w:jc w:val="both"/>
        <w:rPr>
          <w:b/>
        </w:rPr>
      </w:pPr>
      <w:r>
        <w:rPr>
          <w:b/>
          <w:u w:val="single"/>
        </w:rPr>
        <w:t>Four types of holding periods:</w:t>
      </w:r>
    </w:p>
    <w:p w14:paraId="338677A7" w14:textId="77777777" w:rsidR="00D22602" w:rsidRDefault="00026AB4">
      <w:pPr>
        <w:numPr>
          <w:ilvl w:val="1"/>
          <w:numId w:val="3"/>
        </w:numPr>
        <w:jc w:val="both"/>
        <w:rPr>
          <w:i/>
        </w:rPr>
      </w:pPr>
      <w:r>
        <w:rPr>
          <w:i/>
          <w:u w:val="single"/>
        </w:rPr>
        <w:t>1 week;</w:t>
      </w:r>
    </w:p>
    <w:p w14:paraId="48A91DD4" w14:textId="77777777" w:rsidR="00D22602" w:rsidRDefault="00026AB4">
      <w:pPr>
        <w:numPr>
          <w:ilvl w:val="1"/>
          <w:numId w:val="3"/>
        </w:numPr>
        <w:jc w:val="both"/>
        <w:rPr>
          <w:i/>
        </w:rPr>
      </w:pPr>
      <w:r>
        <w:rPr>
          <w:i/>
          <w:u w:val="single"/>
        </w:rPr>
        <w:t>2 weeks;</w:t>
      </w:r>
    </w:p>
    <w:p w14:paraId="1AEA37E4" w14:textId="77777777" w:rsidR="00D22602" w:rsidRDefault="00026AB4">
      <w:pPr>
        <w:numPr>
          <w:ilvl w:val="1"/>
          <w:numId w:val="3"/>
        </w:numPr>
        <w:jc w:val="both"/>
        <w:rPr>
          <w:i/>
        </w:rPr>
      </w:pPr>
      <w:r>
        <w:rPr>
          <w:i/>
          <w:u w:val="single"/>
        </w:rPr>
        <w:t>3 weeks;</w:t>
      </w:r>
    </w:p>
    <w:p w14:paraId="266EF28E" w14:textId="77777777" w:rsidR="00D22602" w:rsidRDefault="00026AB4">
      <w:pPr>
        <w:numPr>
          <w:ilvl w:val="1"/>
          <w:numId w:val="3"/>
        </w:numPr>
        <w:jc w:val="both"/>
      </w:pPr>
      <w:r>
        <w:rPr>
          <w:i/>
          <w:u w:val="single"/>
        </w:rPr>
        <w:t>4 weeks</w:t>
      </w:r>
      <w:r>
        <w:t>.</w:t>
      </w:r>
    </w:p>
    <w:p w14:paraId="095C0B6E" w14:textId="77777777" w:rsidR="00D22602" w:rsidRDefault="00026AB4">
      <w:pPr>
        <w:numPr>
          <w:ilvl w:val="0"/>
          <w:numId w:val="3"/>
        </w:numPr>
        <w:spacing w:before="120"/>
        <w:jc w:val="both"/>
        <w:rPr>
          <w:b/>
        </w:rPr>
      </w:pPr>
      <w:r>
        <w:rPr>
          <w:b/>
          <w:u w:val="single"/>
        </w:rPr>
        <w:t>Two types of position volumes:</w:t>
      </w:r>
    </w:p>
    <w:p w14:paraId="2B2F2645" w14:textId="77777777" w:rsidR="00D22602" w:rsidRDefault="00026AB4">
      <w:pPr>
        <w:numPr>
          <w:ilvl w:val="1"/>
          <w:numId w:val="3"/>
        </w:numPr>
        <w:jc w:val="both"/>
      </w:pPr>
      <w:r>
        <w:rPr>
          <w:i/>
          <w:u w:val="single"/>
        </w:rPr>
        <w:t>Traditional:</w:t>
      </w:r>
      <w:r>
        <w:t xml:space="preserve"> Each week the 3 new positions are opened for one third of the current PV. Normally, this shouldn't be a problem. However, this is not a normal situation. On the one hand, in th</w:t>
      </w:r>
      <w:r>
        <w:t>e case of longer holding periods, the leverage becomes too large, so a few bad recommendations can collectively push the PV into negative territory. On the other hand, shorting leveraged volatility ETPs can make PV negative by itself. These result in the t</w:t>
      </w:r>
      <w:r>
        <w:t>raditional position weighting losing its meaning (resulting in negative $ volume). In other words, as soon as PV turns negative, charts and other indicators become unintelligible from then on.</w:t>
      </w:r>
    </w:p>
    <w:p w14:paraId="4ADBFE75" w14:textId="77777777" w:rsidR="00D22602" w:rsidRDefault="00026AB4">
      <w:pPr>
        <w:numPr>
          <w:ilvl w:val="1"/>
          <w:numId w:val="3"/>
        </w:numPr>
        <w:jc w:val="both"/>
      </w:pPr>
      <w:r>
        <w:rPr>
          <w:i/>
          <w:u w:val="single"/>
        </w:rPr>
        <w:t>Fixed:</w:t>
      </w:r>
      <w:r>
        <w:t xml:space="preserve"> In this case, each new position is open for one third of</w:t>
      </w:r>
      <w:r>
        <w:t xml:space="preserve"> the</w:t>
      </w:r>
      <w:r>
        <w:rPr>
          <w:b/>
        </w:rPr>
        <w:t xml:space="preserve"> initial PV.</w:t>
      </w:r>
      <w:r>
        <w:t xml:space="preserve"> In the case of our </w:t>
      </w:r>
      <w:proofErr w:type="spellStart"/>
      <w:r>
        <w:t>backtest</w:t>
      </w:r>
      <w:proofErr w:type="spellEnd"/>
      <w:r>
        <w:t>, this is $333,333 due to the initial capital of $1M. In our opinion, this is a much safer method for high leverage and in case of frequent shorting of leveraged volatility.</w:t>
      </w:r>
    </w:p>
    <w:p w14:paraId="74BD9CBA" w14:textId="77777777" w:rsidR="00D22602" w:rsidRDefault="00026AB4">
      <w:pPr>
        <w:numPr>
          <w:ilvl w:val="0"/>
          <w:numId w:val="3"/>
        </w:numPr>
        <w:spacing w:before="120"/>
        <w:jc w:val="both"/>
        <w:rPr>
          <w:b/>
        </w:rPr>
      </w:pPr>
      <w:r>
        <w:rPr>
          <w:b/>
          <w:u w:val="single"/>
        </w:rPr>
        <w:t>Three types of playing volatility ETPs</w:t>
      </w:r>
      <w:r>
        <w:rPr>
          <w:b/>
          <w:u w:val="single"/>
        </w:rPr>
        <w:t>:</w:t>
      </w:r>
    </w:p>
    <w:p w14:paraId="29327DB0" w14:textId="77777777" w:rsidR="00D22602" w:rsidRDefault="00026AB4">
      <w:pPr>
        <w:numPr>
          <w:ilvl w:val="1"/>
          <w:numId w:val="3"/>
        </w:numPr>
        <w:jc w:val="both"/>
      </w:pPr>
      <w:r>
        <w:rPr>
          <w:i/>
          <w:u w:val="single"/>
        </w:rPr>
        <w:t>Base:</w:t>
      </w:r>
      <w:r>
        <w:t xml:space="preserve"> In this case, </w:t>
      </w:r>
      <w:proofErr w:type="spellStart"/>
      <w:r>
        <w:t>Luby's</w:t>
      </w:r>
      <w:proofErr w:type="spellEnd"/>
      <w:r>
        <w:t xml:space="preserve"> recommendation is exactly followed.</w:t>
      </w:r>
    </w:p>
    <w:p w14:paraId="110C94FE" w14:textId="77777777" w:rsidR="00D22602" w:rsidRDefault="00026AB4">
      <w:pPr>
        <w:numPr>
          <w:ilvl w:val="1"/>
          <w:numId w:val="3"/>
        </w:numPr>
        <w:jc w:val="both"/>
      </w:pPr>
      <w:r>
        <w:rPr>
          <w:i/>
          <w:u w:val="single"/>
        </w:rPr>
        <w:t>Replacement with VXX:</w:t>
      </w:r>
      <w:r>
        <w:t xml:space="preserve"> In this case, all volatility recommendations are replaced with unleveraged VXX. It helps avoid whipsaws caused by shorting leveraged ETPs (like UVXY and TVIX).</w:t>
      </w:r>
    </w:p>
    <w:p w14:paraId="2ABC95C3" w14:textId="77777777" w:rsidR="00D22602" w:rsidRDefault="00026AB4">
      <w:pPr>
        <w:numPr>
          <w:ilvl w:val="1"/>
          <w:numId w:val="3"/>
        </w:numPr>
        <w:jc w:val="both"/>
      </w:pPr>
      <w:r>
        <w:rPr>
          <w:i/>
          <w:u w:val="single"/>
        </w:rPr>
        <w:t>Replacement with SPY:</w:t>
      </w:r>
      <w:r>
        <w:t xml:space="preserve"> In this case, all volatility recommendations are replaced with unleverage</w:t>
      </w:r>
      <w:r>
        <w:t>d SPY. With this, the effects of volatility ETPs can be eliminated. This makes it visible what the real performance of the strategy would be without the volatile VIX assets.</w:t>
      </w:r>
    </w:p>
    <w:p w14:paraId="1FCA2A3D" w14:textId="77777777" w:rsidR="00D22602" w:rsidRDefault="00D22602">
      <w:pPr>
        <w:jc w:val="both"/>
      </w:pPr>
    </w:p>
    <w:p w14:paraId="29C33C2E" w14:textId="77777777" w:rsidR="00D22602" w:rsidRDefault="00026AB4">
      <w:pPr>
        <w:jc w:val="both"/>
      </w:pPr>
      <w:r>
        <w:t xml:space="preserve">It is 3*4*2*3 = </w:t>
      </w:r>
      <w:r>
        <w:rPr>
          <w:b/>
        </w:rPr>
        <w:t xml:space="preserve">72 </w:t>
      </w:r>
      <w:proofErr w:type="spellStart"/>
      <w:r>
        <w:rPr>
          <w:b/>
        </w:rPr>
        <w:t>backtested</w:t>
      </w:r>
      <w:proofErr w:type="spellEnd"/>
      <w:r>
        <w:rPr>
          <w:b/>
        </w:rPr>
        <w:t xml:space="preserve"> portfolios altogether</w:t>
      </w:r>
      <w:r>
        <w:t>.</w:t>
      </w:r>
    </w:p>
    <w:p w14:paraId="41E87845" w14:textId="77777777" w:rsidR="00D22602" w:rsidRDefault="00026AB4">
      <w:pPr>
        <w:jc w:val="both"/>
      </w:pPr>
      <w:r>
        <w:lastRenderedPageBreak/>
        <w:t>It is worth noting that news</w:t>
      </w:r>
      <w:r>
        <w:t xml:space="preserve">letters or bullet points from </w:t>
      </w:r>
      <w:proofErr w:type="spellStart"/>
      <w:r>
        <w:t>Luby</w:t>
      </w:r>
      <w:proofErr w:type="spellEnd"/>
      <w:r>
        <w:t xml:space="preserve"> </w:t>
      </w:r>
      <w:r>
        <w:rPr>
          <w:b/>
        </w:rPr>
        <w:t>do not always arrive after the market closes on Wednesday</w:t>
      </w:r>
      <w:r>
        <w:t xml:space="preserve">. As a result, it happened that they </w:t>
      </w:r>
      <w:r>
        <w:rPr>
          <w:b/>
        </w:rPr>
        <w:t>followed each other by even 3 or 14 days</w:t>
      </w:r>
      <w:r>
        <w:t xml:space="preserve">. During our tests, </w:t>
      </w:r>
      <w:r>
        <w:rPr>
          <w:b/>
        </w:rPr>
        <w:t>'1 week' always means the time elapsed between two recommendations</w:t>
      </w:r>
      <w:r>
        <w:t xml:space="preserve"> </w:t>
      </w:r>
      <w:r>
        <w:t>(which can be 3 or 14 days in real life).</w:t>
      </w:r>
    </w:p>
    <w:p w14:paraId="0E5AB474" w14:textId="77777777" w:rsidR="00D22602" w:rsidRDefault="00D22602">
      <w:pPr>
        <w:jc w:val="both"/>
      </w:pPr>
    </w:p>
    <w:p w14:paraId="48C98142" w14:textId="77777777" w:rsidR="00D22602" w:rsidRDefault="00026AB4">
      <w:pPr>
        <w:jc w:val="both"/>
      </w:pPr>
      <w:r>
        <w:t xml:space="preserve">As a first step in this section, let's take the results published by </w:t>
      </w:r>
      <w:proofErr w:type="spellStart"/>
      <w:r>
        <w:t>Luby</w:t>
      </w:r>
      <w:proofErr w:type="spellEnd"/>
      <w:r>
        <w:t xml:space="preserve"> again (Table 1).</w:t>
      </w:r>
    </w:p>
    <w:p w14:paraId="7570A6E0" w14:textId="77777777" w:rsidR="00D22602" w:rsidRDefault="00026AB4">
      <w:pPr>
        <w:jc w:val="center"/>
      </w:pPr>
      <w:r>
        <w:rPr>
          <w:sz w:val="18"/>
          <w:szCs w:val="18"/>
        </w:rPr>
        <w:t xml:space="preserve">Table 1: Results published by </w:t>
      </w:r>
      <w:proofErr w:type="spellStart"/>
      <w:r>
        <w:rPr>
          <w:sz w:val="18"/>
          <w:szCs w:val="18"/>
        </w:rPr>
        <w:t>Luby</w:t>
      </w:r>
      <w:proofErr w:type="spellEnd"/>
      <w:r>
        <w:rPr>
          <w:sz w:val="18"/>
          <w:szCs w:val="18"/>
        </w:rPr>
        <w:t xml:space="preserve"> on 2022-11-30</w:t>
      </w:r>
    </w:p>
    <w:p w14:paraId="7DBEE0C6" w14:textId="77777777" w:rsidR="00D22602" w:rsidRDefault="00026AB4">
      <w:pPr>
        <w:jc w:val="center"/>
      </w:pPr>
      <w:r>
        <w:rPr>
          <w:noProof/>
          <w:sz w:val="18"/>
          <w:szCs w:val="18"/>
        </w:rPr>
        <w:drawing>
          <wp:inline distT="114300" distB="114300" distL="114300" distR="114300" wp14:anchorId="53747D45" wp14:editId="36F6982F">
            <wp:extent cx="4548188" cy="1568057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8188" cy="1568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C20072" w14:textId="77777777" w:rsidR="00D22602" w:rsidRDefault="00026AB4">
      <w:pPr>
        <w:jc w:val="both"/>
      </w:pPr>
      <w:proofErr w:type="spellStart"/>
      <w:r>
        <w:t>Luby’s</w:t>
      </w:r>
      <w:proofErr w:type="spellEnd"/>
      <w:r>
        <w:t xml:space="preserve"> official performance table shows that it</w:t>
      </w:r>
      <w:r>
        <w:rPr>
          <w:b/>
        </w:rPr>
        <w:t xml:space="preserve"> has been profitable eve</w:t>
      </w:r>
      <w:r>
        <w:rPr>
          <w:b/>
        </w:rPr>
        <w:t xml:space="preserve">ry year except 2022 (but even in 2022 using the 4-week holding period in which it used triple PV </w:t>
      </w:r>
      <w:proofErr w:type="gramStart"/>
      <w:r>
        <w:rPr>
          <w:b/>
        </w:rPr>
        <w:t>of  the</w:t>
      </w:r>
      <w:proofErr w:type="gramEnd"/>
      <w:r>
        <w:rPr>
          <w:b/>
        </w:rPr>
        <w:t xml:space="preserve"> 1-week holding period)</w:t>
      </w:r>
      <w:r>
        <w:t xml:space="preserve">. In contrast, </w:t>
      </w:r>
      <w:r>
        <w:rPr>
          <w:b/>
        </w:rPr>
        <w:t>let's look at the ugly truth</w:t>
      </w:r>
      <w:r>
        <w:t>.</w:t>
      </w:r>
    </w:p>
    <w:p w14:paraId="1397DA47" w14:textId="77777777" w:rsidR="00D22602" w:rsidRDefault="00D22602">
      <w:pPr>
        <w:jc w:val="both"/>
      </w:pPr>
    </w:p>
    <w:p w14:paraId="439D867F" w14:textId="77777777" w:rsidR="00D22602" w:rsidRDefault="00026AB4">
      <w:pPr>
        <w:jc w:val="both"/>
      </w:pPr>
      <w:r>
        <w:t>Chart 1 and Table 1 show what the</w:t>
      </w:r>
      <w:r>
        <w:rPr>
          <w:b/>
        </w:rPr>
        <w:t xml:space="preserve"> performance of portfolios created based on </w:t>
      </w:r>
      <w:proofErr w:type="spellStart"/>
      <w:r>
        <w:rPr>
          <w:b/>
        </w:rPr>
        <w:t>Luby's</w:t>
      </w:r>
      <w:proofErr w:type="spellEnd"/>
      <w:r>
        <w:rPr>
          <w:b/>
        </w:rPr>
        <w:t xml:space="preserve"> recommendations would look like </w:t>
      </w:r>
      <w:r>
        <w:rPr>
          <w:b/>
          <w:i/>
        </w:rPr>
        <w:t>in reality</w:t>
      </w:r>
      <w:r>
        <w:t xml:space="preserve">. As soon as </w:t>
      </w:r>
      <w:r>
        <w:rPr>
          <w:b/>
        </w:rPr>
        <w:t>the PV of a portfolio turns negative, the results can no longer be interpreted using the traditional position volume calculation</w:t>
      </w:r>
      <w:r>
        <w:t xml:space="preserve"> (since the negative PV would change the long and short positions). For </w:t>
      </w:r>
      <w:r>
        <w:t xml:space="preserve">this reason, the </w:t>
      </w:r>
      <w:r>
        <w:rPr>
          <w:b/>
        </w:rPr>
        <w:t>crossed-out parts on the chart and in the table should be ignored and a 100% loss should be taken into account</w:t>
      </w:r>
      <w:r>
        <w:t xml:space="preserve">. The PV indicated by the green lines and the first 4 columns of the table would be what </w:t>
      </w:r>
      <w:proofErr w:type="spellStart"/>
      <w:r>
        <w:t>Luby</w:t>
      </w:r>
      <w:proofErr w:type="spellEnd"/>
      <w:r>
        <w:t xml:space="preserve"> should have published. And the PV i</w:t>
      </w:r>
      <w:r>
        <w:t xml:space="preserve">ndicated by the blue lines and the last 4 columns of the table are what anyone could achieve by strictly following the recommendations (trading at close on the next trading day). After these figures and </w:t>
      </w:r>
      <w:proofErr w:type="spellStart"/>
      <w:r>
        <w:t>Luby's</w:t>
      </w:r>
      <w:proofErr w:type="spellEnd"/>
      <w:r>
        <w:t xml:space="preserve"> numbers, anyone can rightly ask, </w:t>
      </w:r>
      <w:r>
        <w:rPr>
          <w:b/>
        </w:rPr>
        <w:t>'But hey, how</w:t>
      </w:r>
      <w:r>
        <w:rPr>
          <w:b/>
        </w:rPr>
        <w:t xml:space="preserve"> is it possible that these numbers are not at all related to each other???'</w:t>
      </w:r>
      <w:r>
        <w:t>.</w:t>
      </w:r>
    </w:p>
    <w:p w14:paraId="0D3D9287" w14:textId="77777777" w:rsidR="00D22602" w:rsidRDefault="00D22602">
      <w:pPr>
        <w:jc w:val="both"/>
      </w:pPr>
    </w:p>
    <w:p w14:paraId="0E2AF719" w14:textId="77777777" w:rsidR="00D22602" w:rsidRDefault="00026AB4">
      <w:pPr>
        <w:jc w:val="both"/>
        <w:rPr>
          <w:b/>
        </w:rPr>
      </w:pPr>
      <w:r>
        <w:rPr>
          <w:b/>
        </w:rPr>
        <w:t>The answer is clear (c-h-e-a-t-</w:t>
      </w:r>
      <w:proofErr w:type="spellStart"/>
      <w:r>
        <w:rPr>
          <w:b/>
        </w:rPr>
        <w:t>i</w:t>
      </w:r>
      <w:proofErr w:type="spellEnd"/>
      <w:r>
        <w:rPr>
          <w:b/>
        </w:rPr>
        <w:t xml:space="preserve">-n-g </w:t>
      </w:r>
      <w:r>
        <w:rPr>
          <w:b/>
        </w:rPr>
        <w:t>😱</w:t>
      </w:r>
      <w:r>
        <w:t xml:space="preserve">), and the source of the differences consists of </w:t>
      </w:r>
      <w:r>
        <w:rPr>
          <w:b/>
        </w:rPr>
        <w:t>two parts</w:t>
      </w:r>
      <w:r>
        <w:t xml:space="preserve">. First, in the case of holding periods longer than one week, </w:t>
      </w:r>
      <w:r>
        <w:rPr>
          <w:b/>
        </w:rPr>
        <w:t>the profits are ‘additively accumulated’</w:t>
      </w:r>
      <w:r>
        <w:t xml:space="preserve">. In other words, </w:t>
      </w:r>
      <w:r>
        <w:rPr>
          <w:b/>
        </w:rPr>
        <w:t>those numbers should be divided by the length of the period</w:t>
      </w:r>
      <w:r>
        <w:t xml:space="preserve"> (and the volatility drag was not even taken into account then). This can even be considered a bona fide deception, because we can also fin</w:t>
      </w:r>
      <w:r>
        <w:t xml:space="preserve">d such on other websites. Secondly, </w:t>
      </w:r>
      <w:r>
        <w:rPr>
          <w:b/>
        </w:rPr>
        <w:t>what is not very fair</w:t>
      </w:r>
      <w:r>
        <w:t xml:space="preserve">, in our opinion, is the </w:t>
      </w:r>
      <w:r>
        <w:rPr>
          <w:b/>
        </w:rPr>
        <w:t>hindsight manipulation of the data</w:t>
      </w:r>
      <w:r>
        <w:t xml:space="preserve">. What does this mean in reality? </w:t>
      </w:r>
      <w:r>
        <w:rPr>
          <w:b/>
        </w:rPr>
        <w:t>When there is relative calm on the markets or there are no leveraged volatility ETPs capable of huge jumps</w:t>
      </w:r>
      <w:r>
        <w:rPr>
          <w:b/>
        </w:rPr>
        <w:t xml:space="preserve"> in the basket, he uses the '</w:t>
      </w:r>
      <w:proofErr w:type="spellStart"/>
      <w:r>
        <w:rPr>
          <w:b/>
        </w:rPr>
        <w:t>Luby</w:t>
      </w:r>
      <w:proofErr w:type="spellEnd"/>
      <w:r>
        <w:rPr>
          <w:b/>
        </w:rPr>
        <w:t xml:space="preserve"> close prices' without any changes</w:t>
      </w:r>
      <w:r>
        <w:t xml:space="preserve">. However, </w:t>
      </w:r>
      <w:r>
        <w:rPr>
          <w:b/>
        </w:rPr>
        <w:t>when the portfolio would suffer a huge loss, he waits to publish the results (only bullet points are sent to followers), and then he closes the position using the price available</w:t>
      </w:r>
      <w:r>
        <w:rPr>
          <w:b/>
        </w:rPr>
        <w:t xml:space="preserve"> on another day. And only after that, tabular results are published again in the newsletter</w:t>
      </w:r>
      <w:r>
        <w:t xml:space="preserve">. As, for example, he did this in </w:t>
      </w:r>
      <w:r>
        <w:rPr>
          <w:b/>
        </w:rPr>
        <w:t>March 2020</w:t>
      </w:r>
      <w:r>
        <w:t xml:space="preserve">. Then he </w:t>
      </w:r>
      <w:r>
        <w:rPr>
          <w:b/>
        </w:rPr>
        <w:t xml:space="preserve">showed a loss of -38.02% followed by a gain of 33% in a </w:t>
      </w:r>
      <w:proofErr w:type="gramStart"/>
      <w:r>
        <w:rPr>
          <w:b/>
        </w:rPr>
        <w:t>3 week</w:t>
      </w:r>
      <w:proofErr w:type="gramEnd"/>
      <w:r>
        <w:rPr>
          <w:b/>
        </w:rPr>
        <w:t xml:space="preserve"> period</w:t>
      </w:r>
      <w:r>
        <w:t xml:space="preserve">, which </w:t>
      </w:r>
      <w:r>
        <w:rPr>
          <w:b/>
        </w:rPr>
        <w:t xml:space="preserve">in reality was a loss of -73% and </w:t>
      </w:r>
      <w:r>
        <w:rPr>
          <w:b/>
        </w:rPr>
        <w:t xml:space="preserve">a -2.45% loss again (using 1-week holding period). </w:t>
      </w:r>
      <w:r>
        <w:t>In case of</w:t>
      </w:r>
      <w:r>
        <w:rPr>
          <w:b/>
        </w:rPr>
        <w:t xml:space="preserve"> longer holding periods, cumulative loss would be much worse (with more than 100% MDD!!!)</w:t>
      </w:r>
      <w:r>
        <w:t xml:space="preserve">. These are the </w:t>
      </w:r>
      <w:r>
        <w:rPr>
          <w:b/>
        </w:rPr>
        <w:t>sad facts</w:t>
      </w:r>
      <w:r>
        <w:t xml:space="preserve">, </w:t>
      </w:r>
      <w:r>
        <w:rPr>
          <w:b/>
        </w:rPr>
        <w:t>not just speculation or unjustified accusations…</w:t>
      </w:r>
      <w:r>
        <w:t xml:space="preserve"> We </w:t>
      </w:r>
      <w:r>
        <w:rPr>
          <w:b/>
        </w:rPr>
        <w:t>manually extracted the data</w:t>
      </w:r>
      <w:r>
        <w:rPr>
          <w:b/>
        </w:rPr>
        <w:t xml:space="preserve"> from all his spreadsheets</w:t>
      </w:r>
      <w:r>
        <w:t>,</w:t>
      </w:r>
      <w:r>
        <w:rPr>
          <w:b/>
        </w:rPr>
        <w:t xml:space="preserve"> compared their changes to real-life numbers, and found that he misled his followers on several occasions. </w:t>
      </w:r>
    </w:p>
    <w:p w14:paraId="21563A73" w14:textId="77777777" w:rsidR="00D22602" w:rsidRDefault="00026AB4">
      <w:pPr>
        <w:jc w:val="both"/>
      </w:pPr>
      <w:r>
        <w:t xml:space="preserve">It may not be by chance that </w:t>
      </w:r>
      <w:proofErr w:type="spellStart"/>
      <w:r>
        <w:t>Luby</w:t>
      </w:r>
      <w:proofErr w:type="spellEnd"/>
      <w:r>
        <w:t xml:space="preserve"> did not reply to my letter in which I inquired about his calculation method… (Even thou</w:t>
      </w:r>
      <w:r>
        <w:t xml:space="preserve">gh I tried to be very polite.) </w:t>
      </w:r>
      <w:r>
        <w:t>🙂</w:t>
      </w:r>
    </w:p>
    <w:p w14:paraId="040D0262" w14:textId="77777777" w:rsidR="00D22602" w:rsidRDefault="00D22602">
      <w:pPr>
        <w:jc w:val="both"/>
      </w:pPr>
    </w:p>
    <w:p w14:paraId="02210A59" w14:textId="77777777" w:rsidR="00D22602" w:rsidRDefault="00026AB4">
      <w:pPr>
        <w:jc w:val="both"/>
        <w:sectPr w:rsidR="00D2260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566" w:right="566" w:bottom="566" w:left="566" w:header="0" w:footer="720" w:gutter="0"/>
          <w:pgNumType w:start="1"/>
          <w:cols w:space="720"/>
        </w:sectPr>
      </w:pPr>
      <w:r>
        <w:rPr>
          <w:b/>
        </w:rPr>
        <w:t xml:space="preserve">Overall, we wouldn't say that his recommendations are very bad or should be forgotten. We are only saying that the performance chart published by </w:t>
      </w:r>
      <w:proofErr w:type="spellStart"/>
      <w:r>
        <w:rPr>
          <w:b/>
        </w:rPr>
        <w:t>Luby</w:t>
      </w:r>
      <w:proofErr w:type="spellEnd"/>
      <w:r>
        <w:rPr>
          <w:b/>
        </w:rPr>
        <w:t xml:space="preserve"> should not be taken seriously at all.</w:t>
      </w:r>
    </w:p>
    <w:p w14:paraId="4896BA45" w14:textId="77777777" w:rsidR="00D22602" w:rsidRDefault="00026AB4">
      <w:pPr>
        <w:jc w:val="both"/>
        <w:rPr>
          <w:sz w:val="18"/>
          <w:szCs w:val="18"/>
        </w:rPr>
      </w:pPr>
      <w:r>
        <w:lastRenderedPageBreak/>
        <w:t>In our opinion, the version we are currently playing in real life (</w:t>
      </w:r>
      <w:r>
        <w:t xml:space="preserve">which is more or less the same as the </w:t>
      </w:r>
      <w:r>
        <w:rPr>
          <w:b/>
        </w:rPr>
        <w:t>'</w:t>
      </w:r>
      <w:proofErr w:type="spellStart"/>
      <w:r>
        <w:rPr>
          <w:b/>
        </w:rPr>
        <w:t>NextDayClose</w:t>
      </w:r>
      <w:proofErr w:type="spellEnd"/>
      <w:r>
        <w:rPr>
          <w:b/>
        </w:rPr>
        <w:t xml:space="preserve"> 2-W'</w:t>
      </w:r>
      <w:r>
        <w:t xml:space="preserve"> column in the table) </w:t>
      </w:r>
      <w:r>
        <w:rPr>
          <w:b/>
        </w:rPr>
        <w:t>may still be profitable in the future, or at least beat the market, despite all these facts</w:t>
      </w:r>
      <w:r>
        <w:t>.</w:t>
      </w:r>
    </w:p>
    <w:p w14:paraId="5974BCEA" w14:textId="77777777" w:rsidR="00D22602" w:rsidRDefault="00026AB4">
      <w:pPr>
        <w:jc w:val="center"/>
        <w:rPr>
          <w:color w:val="0000FF"/>
        </w:rPr>
      </w:pPr>
      <w:r>
        <w:rPr>
          <w:sz w:val="18"/>
          <w:szCs w:val="18"/>
        </w:rPr>
        <w:t xml:space="preserve">Chart 1: PVs of our </w:t>
      </w:r>
      <w:proofErr w:type="spellStart"/>
      <w:r>
        <w:rPr>
          <w:sz w:val="18"/>
          <w:szCs w:val="18"/>
        </w:rPr>
        <w:t>backtests</w:t>
      </w:r>
      <w:proofErr w:type="spellEnd"/>
      <w:r>
        <w:rPr>
          <w:sz w:val="18"/>
          <w:szCs w:val="18"/>
        </w:rPr>
        <w:t xml:space="preserve"> on 2022-11-30 - using traditional position volume calcu</w:t>
      </w:r>
      <w:r>
        <w:rPr>
          <w:sz w:val="18"/>
          <w:szCs w:val="18"/>
        </w:rPr>
        <w:t>lation method and leveraged volatility ETPs</w:t>
      </w:r>
    </w:p>
    <w:p w14:paraId="6E80314D" w14:textId="77777777" w:rsidR="00D22602" w:rsidRDefault="00026AB4">
      <w:pPr>
        <w:jc w:val="center"/>
      </w:pPr>
      <w:r>
        <w:rPr>
          <w:noProof/>
        </w:rPr>
        <mc:AlternateContent>
          <mc:Choice Requires="wpg">
            <w:drawing>
              <wp:inline distT="114300" distB="114300" distL="114300" distR="114300" wp14:anchorId="2D390DEE" wp14:editId="00D8288D">
                <wp:extent cx="7056067" cy="4750162"/>
                <wp:effectExtent l="0" t="0" r="0" b="0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6067" cy="4750162"/>
                          <a:chOff x="152400" y="152400"/>
                          <a:chExt cx="9334500" cy="6276975"/>
                        </a:xfrm>
                      </wpg:grpSpPr>
                      <pic:pic xmlns:pic="http://schemas.openxmlformats.org/drawingml/2006/picture">
                        <pic:nvPicPr>
                          <pic:cNvPr id="9" name="Shape 9"/>
                          <pic:cNvPicPr preferRelativeResize="0"/>
                        </pic:nvPicPr>
                        <pic:blipFill>
                          <a:blip r:embed="rId1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9334500" cy="627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Rectangle 1"/>
                        <wps:cNvSpPr/>
                        <wps:spPr>
                          <a:xfrm>
                            <a:off x="6031350" y="3965950"/>
                            <a:ext cx="3015600" cy="19395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69A3531" w14:textId="77777777" w:rsidR="00D22602" w:rsidRDefault="00D22602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Straight Arrow Connector 3"/>
                        <wps:cNvCnPr/>
                        <wps:spPr>
                          <a:xfrm>
                            <a:off x="6041050" y="3965950"/>
                            <a:ext cx="3015600" cy="1978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" name="Straight Arrow Connector 4"/>
                        <wps:cNvCnPr/>
                        <wps:spPr>
                          <a:xfrm rot="10800000" flipH="1">
                            <a:off x="6031350" y="3975500"/>
                            <a:ext cx="3015600" cy="1939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7056067" cy="4750162"/>
                <wp:effectExtent b="0" l="0" r="0" t="0"/>
                <wp:docPr id="2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56067" cy="475016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6F03E13" w14:textId="77777777" w:rsidR="00D22602" w:rsidRDefault="00026AB4">
      <w:pPr>
        <w:jc w:val="center"/>
      </w:pPr>
      <w:r>
        <w:rPr>
          <w:sz w:val="18"/>
          <w:szCs w:val="18"/>
        </w:rPr>
        <w:t xml:space="preserve">Table 2: Results of our </w:t>
      </w:r>
      <w:proofErr w:type="spellStart"/>
      <w:r>
        <w:rPr>
          <w:sz w:val="18"/>
          <w:szCs w:val="18"/>
        </w:rPr>
        <w:t>backtests</w:t>
      </w:r>
      <w:proofErr w:type="spellEnd"/>
      <w:r>
        <w:rPr>
          <w:sz w:val="18"/>
          <w:szCs w:val="18"/>
        </w:rPr>
        <w:t xml:space="preserve"> on 2022-11-30 - using traditional position volume calculation method and leveraged volatility ETPs</w:t>
      </w:r>
    </w:p>
    <w:p w14:paraId="098A3659" w14:textId="77777777" w:rsidR="00D22602" w:rsidRDefault="00026AB4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114300" distB="114300" distL="114300" distR="114300" wp14:anchorId="7F984877" wp14:editId="1020F39F">
                <wp:extent cx="8060963" cy="1414672"/>
                <wp:effectExtent l="0" t="0" r="0" b="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0963" cy="1414672"/>
                          <a:chOff x="152400" y="152400"/>
                          <a:chExt cx="9334500" cy="1625150"/>
                        </a:xfrm>
                      </wpg:grpSpPr>
                      <pic:pic xmlns:pic="http://schemas.openxmlformats.org/drawingml/2006/picture">
                        <pic:nvPicPr>
                          <pic:cNvPr id="6" name="Shape 2"/>
                          <pic:cNvPicPr preferRelativeResize="0"/>
                        </pic:nvPicPr>
                        <pic:blipFill>
                          <a:blip r:embed="rId1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93345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Straight Arrow Connector 7"/>
                        <wps:cNvCnPr/>
                        <wps:spPr>
                          <a:xfrm>
                            <a:off x="4159900" y="533325"/>
                            <a:ext cx="1056900" cy="12219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" name="Straight Arrow Connector 8"/>
                        <wps:cNvCnPr/>
                        <wps:spPr>
                          <a:xfrm flipH="1">
                            <a:off x="4150225" y="552725"/>
                            <a:ext cx="1056900" cy="12120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" name="Straight Arrow Connector 10"/>
                        <wps:cNvCnPr/>
                        <wps:spPr>
                          <a:xfrm>
                            <a:off x="3083550" y="533325"/>
                            <a:ext cx="1066800" cy="12411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" name="Straight Arrow Connector 12"/>
                        <wps:cNvCnPr/>
                        <wps:spPr>
                          <a:xfrm flipH="1">
                            <a:off x="3112675" y="513925"/>
                            <a:ext cx="1056900" cy="12411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" name="Straight Arrow Connector 13"/>
                        <wps:cNvCnPr/>
                        <wps:spPr>
                          <a:xfrm>
                            <a:off x="8416750" y="533325"/>
                            <a:ext cx="1056900" cy="1231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" name="Straight Arrow Connector 14"/>
                        <wps:cNvCnPr/>
                        <wps:spPr>
                          <a:xfrm flipH="1">
                            <a:off x="8406900" y="543025"/>
                            <a:ext cx="1066800" cy="12120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8060963" cy="1414672"/>
                <wp:effectExtent b="0" l="0" r="0" t="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60963" cy="141467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1653A6D6" w14:textId="77777777" w:rsidR="00D22602" w:rsidRDefault="00026AB4">
      <w:pPr>
        <w:jc w:val="both"/>
        <w:rPr>
          <w:sz w:val="18"/>
          <w:szCs w:val="18"/>
        </w:rPr>
      </w:pPr>
      <w:r>
        <w:t xml:space="preserve">In order to </w:t>
      </w:r>
      <w:r>
        <w:rPr>
          <w:b/>
        </w:rPr>
        <w:t>avoid huge whipsaws</w:t>
      </w:r>
      <w:r>
        <w:t xml:space="preserve"> caused by shorting leveraged volatility ETPs, we can also </w:t>
      </w:r>
      <w:r>
        <w:rPr>
          <w:b/>
        </w:rPr>
        <w:t>replace them with simple SPY</w:t>
      </w:r>
      <w:r>
        <w:t xml:space="preserve">, as shown in Chart2 and Table 3. With this, we can also get </w:t>
      </w:r>
      <w:r>
        <w:rPr>
          <w:b/>
        </w:rPr>
        <w:t>how much of the profits seen on the previous page came from volatility-related ETPs</w:t>
      </w:r>
      <w:r>
        <w:t>. It is worth noting that</w:t>
      </w:r>
      <w:r>
        <w:t xml:space="preserve"> the </w:t>
      </w:r>
      <w:r>
        <w:rPr>
          <w:b/>
        </w:rPr>
        <w:t>two-week holding period seems to be the best</w:t>
      </w:r>
      <w:r>
        <w:t xml:space="preserve"> in this case as well.</w:t>
      </w:r>
    </w:p>
    <w:p w14:paraId="2234238E" w14:textId="77777777" w:rsidR="00D22602" w:rsidRDefault="00026AB4">
      <w:pPr>
        <w:jc w:val="center"/>
      </w:pPr>
      <w:r>
        <w:rPr>
          <w:sz w:val="18"/>
          <w:szCs w:val="18"/>
        </w:rPr>
        <w:t xml:space="preserve">Chart 2: PVs of our </w:t>
      </w:r>
      <w:proofErr w:type="spellStart"/>
      <w:r>
        <w:rPr>
          <w:sz w:val="18"/>
          <w:szCs w:val="18"/>
        </w:rPr>
        <w:t>backtests</w:t>
      </w:r>
      <w:proofErr w:type="spellEnd"/>
      <w:r>
        <w:rPr>
          <w:sz w:val="18"/>
          <w:szCs w:val="18"/>
        </w:rPr>
        <w:t xml:space="preserve"> on 2022-11-30 - using traditional position volume calculation method and SPY instead of volatility ETPs</w:t>
      </w:r>
    </w:p>
    <w:p w14:paraId="4544C0D3" w14:textId="77777777" w:rsidR="00D22602" w:rsidRDefault="00026AB4">
      <w:pPr>
        <w:jc w:val="center"/>
      </w:pPr>
      <w:r>
        <w:rPr>
          <w:noProof/>
        </w:rPr>
        <w:drawing>
          <wp:inline distT="114300" distB="114300" distL="114300" distR="114300" wp14:anchorId="5B2ED97A" wp14:editId="2F59F86F">
            <wp:extent cx="6434138" cy="4503896"/>
            <wp:effectExtent l="0" t="0" r="0" b="0"/>
            <wp:docPr id="32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4138" cy="45038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A62801" w14:textId="77777777" w:rsidR="00D22602" w:rsidRDefault="00026AB4">
      <w:pPr>
        <w:jc w:val="center"/>
      </w:pPr>
      <w:r>
        <w:rPr>
          <w:sz w:val="18"/>
          <w:szCs w:val="18"/>
        </w:rPr>
        <w:lastRenderedPageBreak/>
        <w:t xml:space="preserve">Table 3: Results of our </w:t>
      </w:r>
      <w:proofErr w:type="spellStart"/>
      <w:r>
        <w:rPr>
          <w:sz w:val="18"/>
          <w:szCs w:val="18"/>
        </w:rPr>
        <w:t>backtests</w:t>
      </w:r>
      <w:proofErr w:type="spellEnd"/>
      <w:r>
        <w:rPr>
          <w:sz w:val="18"/>
          <w:szCs w:val="18"/>
        </w:rPr>
        <w:t xml:space="preserve"> on 2022-11-30 </w:t>
      </w:r>
      <w:r>
        <w:rPr>
          <w:sz w:val="18"/>
          <w:szCs w:val="18"/>
        </w:rPr>
        <w:t>- using traditional position volume calculation method and SPY instead of volatility ETPs</w:t>
      </w:r>
    </w:p>
    <w:p w14:paraId="7659A7E5" w14:textId="77777777" w:rsidR="00D22602" w:rsidRDefault="00026AB4">
      <w:pPr>
        <w:jc w:val="center"/>
      </w:pPr>
      <w:r>
        <w:rPr>
          <w:noProof/>
        </w:rPr>
        <w:drawing>
          <wp:inline distT="114300" distB="114300" distL="114300" distR="114300" wp14:anchorId="299C8F5F" wp14:editId="7634E934">
            <wp:extent cx="7905750" cy="1434023"/>
            <wp:effectExtent l="0" t="0" r="0" b="0"/>
            <wp:docPr id="2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1434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8AEE01" w14:textId="77777777" w:rsidR="00D22602" w:rsidRDefault="00026AB4">
      <w:pPr>
        <w:pStyle w:val="Heading2"/>
        <w:jc w:val="both"/>
      </w:pPr>
      <w:bookmarkStart w:id="8" w:name="_xcprvw88aud3" w:colFirst="0" w:colLast="0"/>
      <w:bookmarkEnd w:id="8"/>
      <w:r>
        <w:rPr>
          <w:color w:val="0000FF"/>
        </w:rPr>
        <w:t>Profitability of ETP Categories</w:t>
      </w:r>
    </w:p>
    <w:p w14:paraId="34D99945" w14:textId="77777777" w:rsidR="00D22602" w:rsidRDefault="00D22602">
      <w:pPr>
        <w:jc w:val="both"/>
      </w:pPr>
    </w:p>
    <w:p w14:paraId="1AD9BE0A" w14:textId="77777777" w:rsidR="00D22602" w:rsidRDefault="00026AB4">
      <w:pPr>
        <w:jc w:val="both"/>
      </w:pPr>
      <w:r>
        <w:t xml:space="preserve">Curious investors may wonder </w:t>
      </w:r>
      <w:r>
        <w:rPr>
          <w:b/>
        </w:rPr>
        <w:t xml:space="preserve">how </w:t>
      </w:r>
      <w:proofErr w:type="spellStart"/>
      <w:r>
        <w:rPr>
          <w:b/>
        </w:rPr>
        <w:t>Luby's</w:t>
      </w:r>
      <w:proofErr w:type="spellEnd"/>
      <w:r>
        <w:rPr>
          <w:b/>
        </w:rPr>
        <w:t xml:space="preserve"> recommendations performed by ETP category</w:t>
      </w:r>
      <w:r>
        <w:t>. Has the energy sector performed the best? Or the tech? Perhaps the volatility?</w:t>
      </w:r>
    </w:p>
    <w:p w14:paraId="2E5C5489" w14:textId="77777777" w:rsidR="00D22602" w:rsidRDefault="00D22602">
      <w:pPr>
        <w:jc w:val="both"/>
      </w:pPr>
    </w:p>
    <w:p w14:paraId="2723C983" w14:textId="77777777" w:rsidR="00D22602" w:rsidRDefault="00026AB4">
      <w:pPr>
        <w:jc w:val="both"/>
        <w:rPr>
          <w:b/>
        </w:rPr>
      </w:pPr>
      <w:r>
        <w:t xml:space="preserve">In this section, we show numbers related to this topic. For this, we need to use the </w:t>
      </w:r>
      <w:r>
        <w:rPr>
          <w:b/>
        </w:rPr>
        <w:t>fixed position volume calculation met</w:t>
      </w:r>
      <w:r>
        <w:rPr>
          <w:b/>
        </w:rPr>
        <w:t>hod</w:t>
      </w:r>
      <w:r>
        <w:t xml:space="preserve">. Because from the point of view of the total $ profit, it would not be irrelevant at what PV value a recommendation arrived at - if we use the traditional position volume calculation. </w:t>
      </w:r>
      <w:r>
        <w:rPr>
          <w:b/>
        </w:rPr>
        <w:t>If we buy from a specific ETP at a low PV, then a much larger percen</w:t>
      </w:r>
      <w:r>
        <w:rPr>
          <w:b/>
        </w:rPr>
        <w:t>tage profit results in a lower absolute ($) profit than a much higher PV but smaller percentage profit.</w:t>
      </w:r>
    </w:p>
    <w:p w14:paraId="22F673D8" w14:textId="77777777" w:rsidR="00D22602" w:rsidRDefault="00D22602">
      <w:pPr>
        <w:jc w:val="both"/>
      </w:pPr>
    </w:p>
    <w:p w14:paraId="63C6E35C" w14:textId="77777777" w:rsidR="00D22602" w:rsidRDefault="00026AB4">
      <w:pPr>
        <w:jc w:val="both"/>
      </w:pPr>
      <w:r>
        <w:t xml:space="preserve">In other words, in this section, we </w:t>
      </w:r>
      <w:r>
        <w:rPr>
          <w:b/>
        </w:rPr>
        <w:t>opened all positions for $333,333, regardless of the actual PV value</w:t>
      </w:r>
      <w:r>
        <w:t xml:space="preserve"> (therefore, even after a negative PV value, fu</w:t>
      </w:r>
      <w:r>
        <w:t>rther investigations make sense).</w:t>
      </w:r>
    </w:p>
    <w:p w14:paraId="600D1B9C" w14:textId="77777777" w:rsidR="00D22602" w:rsidRDefault="00D22602">
      <w:pPr>
        <w:jc w:val="both"/>
      </w:pPr>
    </w:p>
    <w:p w14:paraId="71E90BAE" w14:textId="77777777" w:rsidR="00D22602" w:rsidRDefault="00026AB4">
      <w:pPr>
        <w:jc w:val="both"/>
      </w:pPr>
      <w:r>
        <w:t xml:space="preserve">Chart 3 contains the PV charts of the strategy using this </w:t>
      </w:r>
      <w:r>
        <w:rPr>
          <w:b/>
        </w:rPr>
        <w:t>fixed position $ volume method, different holding periods and two types of prices</w:t>
      </w:r>
      <w:r>
        <w:t xml:space="preserve"> (</w:t>
      </w:r>
      <w:proofErr w:type="spellStart"/>
      <w:r>
        <w:t>Luby’s</w:t>
      </w:r>
      <w:proofErr w:type="spellEnd"/>
      <w:r>
        <w:t xml:space="preserve"> close and next day close (which is tradable)). It can be seen from these </w:t>
      </w:r>
      <w:r>
        <w:t>figures that even with this method,</w:t>
      </w:r>
      <w:r>
        <w:rPr>
          <w:b/>
        </w:rPr>
        <w:t xml:space="preserve"> the strategy would have failed big in March 2020, but would have recovered in any case (even in the case of negative PV) afterward</w:t>
      </w:r>
      <w:r>
        <w:t xml:space="preserve">. What's more! In the case of a </w:t>
      </w:r>
      <w:r>
        <w:rPr>
          <w:b/>
        </w:rPr>
        <w:t>holding period longer than one week, it would not have suf</w:t>
      </w:r>
      <w:r>
        <w:rPr>
          <w:b/>
        </w:rPr>
        <w:t>fered large losses even in 2022</w:t>
      </w:r>
      <w:r>
        <w:t xml:space="preserve"> (in contrast to the traditional method examined previously).</w:t>
      </w:r>
    </w:p>
    <w:p w14:paraId="14721484" w14:textId="77777777" w:rsidR="00D22602" w:rsidRDefault="00D22602">
      <w:pPr>
        <w:jc w:val="both"/>
      </w:pPr>
    </w:p>
    <w:p w14:paraId="7789BAA1" w14:textId="77777777" w:rsidR="00D22602" w:rsidRDefault="00026AB4">
      <w:pPr>
        <w:jc w:val="both"/>
      </w:pPr>
      <w:r>
        <w:t>Henceforth, we will use this method. It is worth noting that where</w:t>
      </w:r>
      <w:r>
        <w:rPr>
          <w:b/>
        </w:rPr>
        <w:t xml:space="preserve"> relative (%) profit figures are shown, the two position volume calculation methods give the sam</w:t>
      </w:r>
      <w:r>
        <w:rPr>
          <w:b/>
        </w:rPr>
        <w:t>e results (only the absolute profit is different)</w:t>
      </w:r>
      <w:r>
        <w:t>. That is, it will be perfect for us to examine the profitability of each ETP category.</w:t>
      </w:r>
    </w:p>
    <w:p w14:paraId="79C9B8E8" w14:textId="77777777" w:rsidR="00D22602" w:rsidRDefault="00D22602">
      <w:pPr>
        <w:jc w:val="both"/>
      </w:pPr>
    </w:p>
    <w:p w14:paraId="4AC79763" w14:textId="77777777" w:rsidR="00D22602" w:rsidRDefault="00026AB4">
      <w:pPr>
        <w:jc w:val="both"/>
      </w:pPr>
      <w:r>
        <w:t xml:space="preserve">The results of these examinations can be seen in Table 4a-5b. First, the results obtained using </w:t>
      </w:r>
      <w:proofErr w:type="spellStart"/>
      <w:r>
        <w:t>Luby's</w:t>
      </w:r>
      <w:proofErr w:type="spellEnd"/>
      <w:r>
        <w:t xml:space="preserve"> close price are</w:t>
      </w:r>
      <w:r>
        <w:t xml:space="preserve"> shown, followed by the results using the next-day close price (this is what can be achieved in reality).</w:t>
      </w:r>
    </w:p>
    <w:p w14:paraId="66079B96" w14:textId="77777777" w:rsidR="00D22602" w:rsidRDefault="00D22602">
      <w:pPr>
        <w:jc w:val="both"/>
      </w:pPr>
    </w:p>
    <w:p w14:paraId="4CE8B58A" w14:textId="77777777" w:rsidR="00D22602" w:rsidRDefault="00026AB4">
      <w:pPr>
        <w:jc w:val="both"/>
      </w:pPr>
      <w:r>
        <w:t>Based on these figures, the following conclusions can be drawn:</w:t>
      </w:r>
    </w:p>
    <w:p w14:paraId="16894621" w14:textId="77777777" w:rsidR="00D22602" w:rsidRDefault="00026AB4">
      <w:pPr>
        <w:numPr>
          <w:ilvl w:val="0"/>
          <w:numId w:val="2"/>
        </w:numPr>
        <w:spacing w:before="80"/>
        <w:jc w:val="both"/>
      </w:pPr>
      <w:r>
        <w:rPr>
          <w:b/>
        </w:rPr>
        <w:lastRenderedPageBreak/>
        <w:t>‘Country’, ‘Other’ and ‘Commodity</w:t>
      </w:r>
      <w:proofErr w:type="gramStart"/>
      <w:r>
        <w:rPr>
          <w:b/>
        </w:rPr>
        <w:t>’  are</w:t>
      </w:r>
      <w:proofErr w:type="gramEnd"/>
      <w:r>
        <w:rPr>
          <w:b/>
        </w:rPr>
        <w:t xml:space="preserve"> the most recommended ETP categories</w:t>
      </w:r>
      <w:r>
        <w:t xml:space="preserve"> (It can b</w:t>
      </w:r>
      <w:r>
        <w:t xml:space="preserve">e seen in the ‘Sum of </w:t>
      </w:r>
      <w:proofErr w:type="spellStart"/>
      <w:r>
        <w:t>NoSelection</w:t>
      </w:r>
      <w:proofErr w:type="spellEnd"/>
      <w:r>
        <w:t xml:space="preserve">’ column), while </w:t>
      </w:r>
      <w:r>
        <w:rPr>
          <w:b/>
        </w:rPr>
        <w:t>‘Healthcare’, ‘Real estate’ and ‘Market-index’ are at the other end of the line</w:t>
      </w:r>
      <w:r>
        <w:t>.</w:t>
      </w:r>
    </w:p>
    <w:p w14:paraId="2B540F0B" w14:textId="77777777" w:rsidR="00D22602" w:rsidRDefault="00026AB4">
      <w:pPr>
        <w:numPr>
          <w:ilvl w:val="0"/>
          <w:numId w:val="2"/>
        </w:numPr>
        <w:spacing w:before="80"/>
        <w:jc w:val="both"/>
      </w:pPr>
      <w:r>
        <w:rPr>
          <w:b/>
        </w:rPr>
        <w:t>If shorter holding periods are used, there is a large difference in the case of some categories when two different prices (</w:t>
      </w:r>
      <w:proofErr w:type="spellStart"/>
      <w:r>
        <w:rPr>
          <w:b/>
        </w:rPr>
        <w:t>Lu</w:t>
      </w:r>
      <w:r>
        <w:rPr>
          <w:b/>
        </w:rPr>
        <w:t>by’s</w:t>
      </w:r>
      <w:proofErr w:type="spellEnd"/>
      <w:r>
        <w:rPr>
          <w:b/>
        </w:rPr>
        <w:t xml:space="preserve"> and next day close) are applied</w:t>
      </w:r>
      <w:r>
        <w:t xml:space="preserve">. For example, if </w:t>
      </w:r>
      <w:proofErr w:type="spellStart"/>
      <w:r>
        <w:t>Luby's</w:t>
      </w:r>
      <w:proofErr w:type="spellEnd"/>
      <w:r>
        <w:t xml:space="preserve"> close price is applied, the amount of $ profits for one week is -$11,653, while for transactions one day later, this value is +$360,055. What a difference! </w:t>
      </w:r>
      <w:r>
        <w:rPr>
          <w:b/>
        </w:rPr>
        <w:t xml:space="preserve">In the case of longer holding periods, </w:t>
      </w:r>
      <w:r>
        <w:rPr>
          <w:b/>
        </w:rPr>
        <w:t xml:space="preserve">the strategy is less price sensitive, and the possible effects of large daily movements are better balanced. </w:t>
      </w:r>
      <w:r>
        <w:rPr>
          <w:b/>
          <w:color w:val="0000FF"/>
        </w:rPr>
        <w:t>His Country category picks have average profit.</w:t>
      </w:r>
    </w:p>
    <w:p w14:paraId="52D1F588" w14:textId="77777777" w:rsidR="00D22602" w:rsidRDefault="00026AB4">
      <w:pPr>
        <w:numPr>
          <w:ilvl w:val="0"/>
          <w:numId w:val="2"/>
        </w:numPr>
        <w:spacing w:before="80"/>
        <w:jc w:val="both"/>
      </w:pPr>
      <w:r>
        <w:rPr>
          <w:b/>
        </w:rPr>
        <w:t>The categories 'Volatility', 'Energy', 'Healthcare' and 'Technology' have the best cumulative and a</w:t>
      </w:r>
      <w:r>
        <w:rPr>
          <w:b/>
        </w:rPr>
        <w:t>verage performance.</w:t>
      </w:r>
      <w:r>
        <w:t xml:space="preserve"> Meanwhile, </w:t>
      </w:r>
      <w:r>
        <w:rPr>
          <w:b/>
        </w:rPr>
        <w:t>accepting the recommendations for the 'Discretionary spending</w:t>
      </w:r>
      <w:proofErr w:type="gramStart"/>
      <w:r>
        <w:rPr>
          <w:b/>
        </w:rPr>
        <w:t>',  '</w:t>
      </w:r>
      <w:proofErr w:type="gramEnd"/>
      <w:r>
        <w:rPr>
          <w:b/>
        </w:rPr>
        <w:t xml:space="preserve">Real-estate' and ‘Market-index’ categories was not the idea of the century. </w:t>
      </w:r>
      <w:r>
        <w:t>Fortunately, he rarely mentioned the latter categories (below 5% of time).</w:t>
      </w:r>
    </w:p>
    <w:p w14:paraId="5BC548C2" w14:textId="77777777" w:rsidR="00D22602" w:rsidRDefault="00026AB4">
      <w:pPr>
        <w:numPr>
          <w:ilvl w:val="0"/>
          <w:numId w:val="2"/>
        </w:numPr>
        <w:spacing w:before="80"/>
        <w:jc w:val="both"/>
      </w:pPr>
      <w:r>
        <w:t>In the</w:t>
      </w:r>
      <w:r>
        <w:rPr>
          <w:b/>
        </w:rPr>
        <w:t xml:space="preserve"> </w:t>
      </w:r>
      <w:proofErr w:type="gramStart"/>
      <w:r>
        <w:rPr>
          <w:b/>
          <w:color w:val="0000FF"/>
        </w:rPr>
        <w:t>2</w:t>
      </w:r>
      <w:r>
        <w:rPr>
          <w:b/>
          <w:color w:val="0000FF"/>
        </w:rPr>
        <w:t xml:space="preserve"> week</w:t>
      </w:r>
      <w:proofErr w:type="gramEnd"/>
      <w:r>
        <w:rPr>
          <w:b/>
          <w:color w:val="0000FF"/>
        </w:rPr>
        <w:t xml:space="preserve"> versions</w:t>
      </w:r>
      <w:r>
        <w:t xml:space="preserve"> that we focus on, a significant </w:t>
      </w:r>
      <w:r>
        <w:rPr>
          <w:b/>
          <w:color w:val="0000FF"/>
        </w:rPr>
        <w:t>50-60% of the total profit comes from the Volatility sector</w:t>
      </w:r>
      <w:r>
        <w:t xml:space="preserve">. </w:t>
      </w:r>
    </w:p>
    <w:p w14:paraId="3A8518F6" w14:textId="77777777" w:rsidR="00D22602" w:rsidRDefault="00026AB4">
      <w:pPr>
        <w:jc w:val="center"/>
      </w:pPr>
      <w:r>
        <w:rPr>
          <w:sz w:val="18"/>
          <w:szCs w:val="18"/>
        </w:rPr>
        <w:t xml:space="preserve">Chart 3: PVs of our </w:t>
      </w:r>
      <w:proofErr w:type="spellStart"/>
      <w:r>
        <w:rPr>
          <w:sz w:val="18"/>
          <w:szCs w:val="18"/>
        </w:rPr>
        <w:t>backtests</w:t>
      </w:r>
      <w:proofErr w:type="spellEnd"/>
      <w:r>
        <w:rPr>
          <w:sz w:val="18"/>
          <w:szCs w:val="18"/>
        </w:rPr>
        <w:t xml:space="preserve"> on 2022-11-30 - using fixed position volume calculation method and leveraged volatility ETPs</w:t>
      </w:r>
    </w:p>
    <w:p w14:paraId="1F1B7115" w14:textId="77777777" w:rsidR="00D22602" w:rsidRDefault="00026AB4">
      <w:pPr>
        <w:jc w:val="center"/>
      </w:pPr>
      <w:r>
        <w:rPr>
          <w:noProof/>
        </w:rPr>
        <w:lastRenderedPageBreak/>
        <w:drawing>
          <wp:inline distT="114300" distB="114300" distL="114300" distR="114300" wp14:anchorId="66E36AD9" wp14:editId="3D86E385">
            <wp:extent cx="9380108" cy="6359887"/>
            <wp:effectExtent l="0" t="0" r="0" b="0"/>
            <wp:docPr id="4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80108" cy="63598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CDF2B0" w14:textId="77777777" w:rsidR="00D22602" w:rsidRDefault="00026AB4">
      <w:pPr>
        <w:jc w:val="center"/>
        <w:rPr>
          <w:sz w:val="18"/>
          <w:szCs w:val="18"/>
        </w:rPr>
      </w:pPr>
      <w:r>
        <w:br w:type="page"/>
      </w:r>
    </w:p>
    <w:p w14:paraId="49E455C1" w14:textId="77777777" w:rsidR="00D22602" w:rsidRDefault="00026AB4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Table 4a: Dollar profits by ETP category as on 2022-11-30 - using </w:t>
      </w:r>
      <w:proofErr w:type="spellStart"/>
      <w:r>
        <w:rPr>
          <w:sz w:val="18"/>
          <w:szCs w:val="18"/>
        </w:rPr>
        <w:t>Luby’s</w:t>
      </w:r>
      <w:proofErr w:type="spellEnd"/>
      <w:r>
        <w:rPr>
          <w:sz w:val="18"/>
          <w:szCs w:val="18"/>
        </w:rPr>
        <w:t xml:space="preserve"> close price and fixed position volume calculation method</w:t>
      </w:r>
      <w:r>
        <w:rPr>
          <w:noProof/>
          <w:sz w:val="18"/>
          <w:szCs w:val="18"/>
        </w:rPr>
        <w:drawing>
          <wp:inline distT="114300" distB="114300" distL="114300" distR="114300" wp14:anchorId="7AD3333D" wp14:editId="1361A7C5">
            <wp:extent cx="9338400" cy="3111500"/>
            <wp:effectExtent l="0" t="0" r="0" b="0"/>
            <wp:docPr id="34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840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BAA4DA" w14:textId="77777777" w:rsidR="00D22602" w:rsidRDefault="00D22602">
      <w:pPr>
        <w:jc w:val="center"/>
        <w:rPr>
          <w:sz w:val="18"/>
          <w:szCs w:val="18"/>
        </w:rPr>
      </w:pPr>
    </w:p>
    <w:p w14:paraId="2E5333EF" w14:textId="77777777" w:rsidR="00D22602" w:rsidRDefault="00026AB4">
      <w:pPr>
        <w:jc w:val="center"/>
      </w:pPr>
      <w:r>
        <w:rPr>
          <w:sz w:val="18"/>
          <w:szCs w:val="18"/>
        </w:rPr>
        <w:t xml:space="preserve">Table 4b: Distribution of total dollar profit by ETP category as on 2022-11-30 - using </w:t>
      </w:r>
      <w:proofErr w:type="spellStart"/>
      <w:r>
        <w:rPr>
          <w:sz w:val="18"/>
          <w:szCs w:val="18"/>
        </w:rPr>
        <w:t>Luby’s</w:t>
      </w:r>
      <w:proofErr w:type="spellEnd"/>
      <w:r>
        <w:rPr>
          <w:sz w:val="18"/>
          <w:szCs w:val="18"/>
        </w:rPr>
        <w:t xml:space="preserve"> close price and fixed position</w:t>
      </w:r>
      <w:r>
        <w:rPr>
          <w:sz w:val="18"/>
          <w:szCs w:val="18"/>
        </w:rPr>
        <w:t xml:space="preserve"> volume calculation method</w:t>
      </w:r>
    </w:p>
    <w:p w14:paraId="48FC3183" w14:textId="77777777" w:rsidR="00D22602" w:rsidRDefault="00026AB4">
      <w:pPr>
        <w:jc w:val="center"/>
      </w:pPr>
      <w:r>
        <w:rPr>
          <w:noProof/>
        </w:rPr>
        <w:drawing>
          <wp:inline distT="114300" distB="114300" distL="114300" distR="114300" wp14:anchorId="246DE6BE" wp14:editId="2739C704">
            <wp:extent cx="5448300" cy="2850502"/>
            <wp:effectExtent l="0" t="0" r="0" b="0"/>
            <wp:docPr id="1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8505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0E0458B1" w14:textId="77777777" w:rsidR="00D22602" w:rsidRDefault="00026AB4">
      <w:pPr>
        <w:jc w:val="center"/>
      </w:pPr>
      <w:r>
        <w:rPr>
          <w:sz w:val="18"/>
          <w:szCs w:val="18"/>
        </w:rPr>
        <w:lastRenderedPageBreak/>
        <w:t>Table 5a: Dollar profits by ETP category as on 2022-11-30 - using Next day close price and fixed position volume calculation method</w:t>
      </w:r>
    </w:p>
    <w:p w14:paraId="57CB3991" w14:textId="77777777" w:rsidR="00D22602" w:rsidRDefault="00026AB4">
      <w:pPr>
        <w:jc w:val="center"/>
      </w:pPr>
      <w:r>
        <w:rPr>
          <w:noProof/>
        </w:rPr>
        <w:drawing>
          <wp:inline distT="114300" distB="114300" distL="114300" distR="114300" wp14:anchorId="6E949C92" wp14:editId="56478F1D">
            <wp:extent cx="9338400" cy="3111500"/>
            <wp:effectExtent l="0" t="0" r="0" b="0"/>
            <wp:docPr id="2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840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6C6384" w14:textId="77777777" w:rsidR="00D22602" w:rsidRDefault="00D22602">
      <w:pPr>
        <w:jc w:val="center"/>
      </w:pPr>
    </w:p>
    <w:p w14:paraId="1B3291C0" w14:textId="77777777" w:rsidR="00D22602" w:rsidRDefault="00026AB4">
      <w:pPr>
        <w:jc w:val="center"/>
      </w:pPr>
      <w:r>
        <w:rPr>
          <w:sz w:val="18"/>
          <w:szCs w:val="18"/>
        </w:rPr>
        <w:t>Table 5b: Distribution of total dollar profit by ETP category as on 2022-11-30 - using Next day close price and fixed position volume calculation method</w:t>
      </w:r>
    </w:p>
    <w:p w14:paraId="7E0E4192" w14:textId="77777777" w:rsidR="00D22602" w:rsidRDefault="00026AB4">
      <w:pPr>
        <w:jc w:val="center"/>
      </w:pPr>
      <w:r>
        <w:rPr>
          <w:noProof/>
        </w:rPr>
        <w:drawing>
          <wp:inline distT="114300" distB="114300" distL="114300" distR="114300" wp14:anchorId="124A31F7" wp14:editId="436B8FD2">
            <wp:extent cx="5449210" cy="2845163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9210" cy="2845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F6818B" w14:textId="77777777" w:rsidR="00D22602" w:rsidRDefault="00D22602">
      <w:pPr>
        <w:sectPr w:rsidR="00D22602">
          <w:type w:val="continuous"/>
          <w:pgSz w:w="15840" w:h="12240" w:orient="landscape"/>
          <w:pgMar w:top="566" w:right="566" w:bottom="566" w:left="566" w:header="0" w:footer="720" w:gutter="0"/>
          <w:cols w:space="720" w:equalWidth="0">
            <w:col w:w="14706" w:space="0"/>
          </w:cols>
        </w:sectPr>
      </w:pPr>
    </w:p>
    <w:p w14:paraId="22D45C95" w14:textId="77777777" w:rsidR="00D22602" w:rsidRDefault="00026AB4">
      <w:pPr>
        <w:jc w:val="both"/>
      </w:pPr>
      <w:r>
        <w:lastRenderedPageBreak/>
        <w:t xml:space="preserve">In the following charts (Chart 4a-5b) and tables (Table 6a-7b), we can see </w:t>
      </w:r>
      <w:r>
        <w:rPr>
          <w:b/>
        </w:rPr>
        <w:t>how the profit of each category would have developed if only they were taken into account from the recommendations</w:t>
      </w:r>
      <w:r>
        <w:t xml:space="preserve">. In other words, we now </w:t>
      </w:r>
      <w:r>
        <w:rPr>
          <w:b/>
        </w:rPr>
        <w:t>treat individual ETPs cumulatively within a category rather than additively</w:t>
      </w:r>
      <w:r>
        <w:t>.</w:t>
      </w:r>
    </w:p>
    <w:p w14:paraId="47F0849D" w14:textId="77777777" w:rsidR="00D22602" w:rsidRDefault="00026AB4">
      <w:pPr>
        <w:jc w:val="both"/>
      </w:pPr>
      <w:r>
        <w:t xml:space="preserve">Although this is only an </w:t>
      </w:r>
      <w:r>
        <w:rPr>
          <w:b/>
        </w:rPr>
        <w:t>approximate cal</w:t>
      </w:r>
      <w:r>
        <w:rPr>
          <w:b/>
        </w:rPr>
        <w:t>culation</w:t>
      </w:r>
      <w:r>
        <w:t xml:space="preserve">, the </w:t>
      </w:r>
      <w:r>
        <w:rPr>
          <w:b/>
        </w:rPr>
        <w:t>results are in line with the previous ones</w:t>
      </w:r>
      <w:r>
        <w:t>.</w:t>
      </w:r>
    </w:p>
    <w:p w14:paraId="711C559F" w14:textId="77777777" w:rsidR="00D22602" w:rsidRDefault="00026AB4">
      <w:pPr>
        <w:jc w:val="both"/>
      </w:pPr>
      <w:r>
        <w:t xml:space="preserve"> </w:t>
      </w:r>
    </w:p>
    <w:p w14:paraId="670DA5C0" w14:textId="77777777" w:rsidR="00D22602" w:rsidRDefault="00026AB4">
      <w:pPr>
        <w:jc w:val="center"/>
      </w:pPr>
      <w:r>
        <w:rPr>
          <w:sz w:val="18"/>
          <w:szCs w:val="18"/>
        </w:rPr>
        <w:t xml:space="preserve">Chart 4a: PV of Categories using </w:t>
      </w:r>
      <w:proofErr w:type="spellStart"/>
      <w:r>
        <w:rPr>
          <w:sz w:val="18"/>
          <w:szCs w:val="18"/>
        </w:rPr>
        <w:t>Luby’s</w:t>
      </w:r>
      <w:proofErr w:type="spellEnd"/>
      <w:r>
        <w:rPr>
          <w:sz w:val="18"/>
          <w:szCs w:val="18"/>
        </w:rPr>
        <w:t xml:space="preserve"> close price and 1-Week holding period - using fixed position volume calculation method and leveraged volatility ETPs</w:t>
      </w:r>
    </w:p>
    <w:p w14:paraId="119CB3A9" w14:textId="77777777" w:rsidR="00D22602" w:rsidRDefault="00026AB4">
      <w:r>
        <w:rPr>
          <w:noProof/>
        </w:rPr>
        <w:drawing>
          <wp:inline distT="114300" distB="114300" distL="114300" distR="114300" wp14:anchorId="107942E2" wp14:editId="1707988B">
            <wp:extent cx="9338400" cy="5105400"/>
            <wp:effectExtent l="0" t="0" r="0" b="0"/>
            <wp:docPr id="4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8400" cy="510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A50601" w14:textId="77777777" w:rsidR="00D22602" w:rsidRDefault="00026AB4">
      <w:pPr>
        <w:jc w:val="center"/>
      </w:pPr>
      <w:r>
        <w:rPr>
          <w:sz w:val="18"/>
          <w:szCs w:val="18"/>
        </w:rPr>
        <w:t xml:space="preserve">Table 6a: Total profit of Categories </w:t>
      </w:r>
      <w:r>
        <w:rPr>
          <w:sz w:val="18"/>
          <w:szCs w:val="18"/>
        </w:rPr>
        <w:t xml:space="preserve">using </w:t>
      </w:r>
      <w:proofErr w:type="spellStart"/>
      <w:r>
        <w:rPr>
          <w:sz w:val="18"/>
          <w:szCs w:val="18"/>
        </w:rPr>
        <w:t>Luby’s</w:t>
      </w:r>
      <w:proofErr w:type="spellEnd"/>
      <w:r>
        <w:rPr>
          <w:sz w:val="18"/>
          <w:szCs w:val="18"/>
        </w:rPr>
        <w:t xml:space="preserve"> close price and 1-Week holding period - using fixed position volume calculation method and leveraged volatility ETPs - 2022-11-30</w:t>
      </w:r>
    </w:p>
    <w:p w14:paraId="2CE42344" w14:textId="77777777" w:rsidR="00D22602" w:rsidRDefault="00026AB4">
      <w:r>
        <w:rPr>
          <w:noProof/>
        </w:rPr>
        <w:lastRenderedPageBreak/>
        <w:drawing>
          <wp:inline distT="114300" distB="114300" distL="114300" distR="114300" wp14:anchorId="1973C811" wp14:editId="09CEF72A">
            <wp:extent cx="9338400" cy="419100"/>
            <wp:effectExtent l="0" t="0" r="0" b="0"/>
            <wp:docPr id="2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84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4729A572" w14:textId="77777777" w:rsidR="00D22602" w:rsidRDefault="00026AB4">
      <w:pPr>
        <w:jc w:val="center"/>
      </w:pPr>
      <w:r>
        <w:rPr>
          <w:sz w:val="18"/>
          <w:szCs w:val="18"/>
        </w:rPr>
        <w:lastRenderedPageBreak/>
        <w:t xml:space="preserve">Chart 4b: PV of Categories using </w:t>
      </w:r>
      <w:proofErr w:type="spellStart"/>
      <w:r>
        <w:rPr>
          <w:sz w:val="18"/>
          <w:szCs w:val="18"/>
        </w:rPr>
        <w:t>Luby’s</w:t>
      </w:r>
      <w:proofErr w:type="spellEnd"/>
      <w:r>
        <w:rPr>
          <w:sz w:val="18"/>
          <w:szCs w:val="18"/>
        </w:rPr>
        <w:t xml:space="preserve"> close price and 2-Week holding period - using fixed position volume ca</w:t>
      </w:r>
      <w:r>
        <w:rPr>
          <w:sz w:val="18"/>
          <w:szCs w:val="18"/>
        </w:rPr>
        <w:t>lculation method and leveraged volatility ETPs</w:t>
      </w:r>
    </w:p>
    <w:p w14:paraId="23BCD3AB" w14:textId="77777777" w:rsidR="00D22602" w:rsidRDefault="00026AB4">
      <w:r>
        <w:rPr>
          <w:noProof/>
        </w:rPr>
        <w:drawing>
          <wp:inline distT="114300" distB="114300" distL="114300" distR="114300" wp14:anchorId="63ECC891" wp14:editId="0DD7595E">
            <wp:extent cx="9338400" cy="5981700"/>
            <wp:effectExtent l="0" t="0" r="0" b="0"/>
            <wp:docPr id="2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8400" cy="598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110504" w14:textId="77777777" w:rsidR="00D22602" w:rsidRDefault="00026AB4">
      <w:pPr>
        <w:jc w:val="center"/>
      </w:pPr>
      <w:r>
        <w:rPr>
          <w:sz w:val="18"/>
          <w:szCs w:val="18"/>
        </w:rPr>
        <w:t xml:space="preserve">Table 6b: Total profit of Categories using </w:t>
      </w:r>
      <w:proofErr w:type="spellStart"/>
      <w:r>
        <w:rPr>
          <w:sz w:val="18"/>
          <w:szCs w:val="18"/>
        </w:rPr>
        <w:t>Luby’s</w:t>
      </w:r>
      <w:proofErr w:type="spellEnd"/>
      <w:r>
        <w:rPr>
          <w:sz w:val="18"/>
          <w:szCs w:val="18"/>
        </w:rPr>
        <w:t xml:space="preserve"> close price and 2-Week holding period - using fixed position volume calculation method and leveraged volatility ETPs - 2022-11-30</w:t>
      </w:r>
    </w:p>
    <w:p w14:paraId="0DFA1F48" w14:textId="77777777" w:rsidR="00D22602" w:rsidRDefault="00026AB4">
      <w:r>
        <w:rPr>
          <w:noProof/>
        </w:rPr>
        <w:drawing>
          <wp:inline distT="114300" distB="114300" distL="114300" distR="114300" wp14:anchorId="198C13D6" wp14:editId="2DE1C46C">
            <wp:extent cx="9338400" cy="419100"/>
            <wp:effectExtent l="0" t="0" r="0" b="0"/>
            <wp:docPr id="4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84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4F8EC2CE" w14:textId="77777777" w:rsidR="00D22602" w:rsidRDefault="00026AB4">
      <w:pPr>
        <w:jc w:val="center"/>
      </w:pPr>
      <w:r>
        <w:rPr>
          <w:sz w:val="18"/>
          <w:szCs w:val="18"/>
        </w:rPr>
        <w:lastRenderedPageBreak/>
        <w:t>Chart 5a: PV of Categori</w:t>
      </w:r>
      <w:r>
        <w:rPr>
          <w:sz w:val="18"/>
          <w:szCs w:val="18"/>
        </w:rPr>
        <w:t>es using Next day close price and 1-Week holding period - using fixed position volume calculation method and leveraged volatility ETPs</w:t>
      </w:r>
    </w:p>
    <w:p w14:paraId="32D434C6" w14:textId="77777777" w:rsidR="00D22602" w:rsidRDefault="00026AB4">
      <w:r>
        <w:rPr>
          <w:noProof/>
        </w:rPr>
        <w:drawing>
          <wp:inline distT="114300" distB="114300" distL="114300" distR="114300" wp14:anchorId="4939283E" wp14:editId="30C9B787">
            <wp:extent cx="9338400" cy="5359400"/>
            <wp:effectExtent l="0" t="0" r="0" b="0"/>
            <wp:docPr id="4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8400" cy="535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F964E7" w14:textId="77777777" w:rsidR="00D22602" w:rsidRDefault="00026AB4">
      <w:pPr>
        <w:jc w:val="center"/>
      </w:pPr>
      <w:r>
        <w:rPr>
          <w:sz w:val="18"/>
          <w:szCs w:val="18"/>
        </w:rPr>
        <w:t>Table 7a: Total profit of Categories using Next day close price and 1-Week holding period - using fixed position volume</w:t>
      </w:r>
      <w:r>
        <w:rPr>
          <w:sz w:val="18"/>
          <w:szCs w:val="18"/>
        </w:rPr>
        <w:t xml:space="preserve"> calculation method and leveraged volatility ETPs - 2022-11-30</w:t>
      </w:r>
    </w:p>
    <w:p w14:paraId="27A0A4A5" w14:textId="77777777" w:rsidR="00D22602" w:rsidRDefault="00026AB4">
      <w:r>
        <w:rPr>
          <w:noProof/>
        </w:rPr>
        <w:drawing>
          <wp:inline distT="114300" distB="114300" distL="114300" distR="114300" wp14:anchorId="45928A30" wp14:editId="21CC2C9B">
            <wp:extent cx="9338400" cy="419100"/>
            <wp:effectExtent l="0" t="0" r="0" b="0"/>
            <wp:docPr id="31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84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58D926A8" w14:textId="77777777" w:rsidR="00D22602" w:rsidRDefault="00026AB4">
      <w:pPr>
        <w:jc w:val="center"/>
      </w:pPr>
      <w:r>
        <w:rPr>
          <w:sz w:val="18"/>
          <w:szCs w:val="18"/>
        </w:rPr>
        <w:lastRenderedPageBreak/>
        <w:t>Chart 5b: PV of Categories using Next day close price and 2-Week holding period - using fixed position volume calculation method and leveraged volatility ETPs</w:t>
      </w:r>
    </w:p>
    <w:p w14:paraId="1DACD745" w14:textId="77777777" w:rsidR="00D22602" w:rsidRDefault="00026AB4">
      <w:r>
        <w:rPr>
          <w:noProof/>
        </w:rPr>
        <w:drawing>
          <wp:inline distT="114300" distB="114300" distL="114300" distR="114300" wp14:anchorId="30D7EFA1" wp14:editId="6710CB9A">
            <wp:extent cx="9338400" cy="4864100"/>
            <wp:effectExtent l="0" t="0" r="0" b="0"/>
            <wp:docPr id="37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8400" cy="486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CB3C8C" w14:textId="77777777" w:rsidR="00D22602" w:rsidRDefault="00026AB4">
      <w:pPr>
        <w:jc w:val="center"/>
      </w:pPr>
      <w:r>
        <w:rPr>
          <w:sz w:val="18"/>
          <w:szCs w:val="18"/>
        </w:rPr>
        <w:t>Table 7b: Total profit of Categories using Next day close price and 2-Week holding period - using fixed position volume calculation method and leveraged volatility ETPs - 2022-11-30</w:t>
      </w:r>
    </w:p>
    <w:p w14:paraId="31DE8F77" w14:textId="77777777" w:rsidR="00D22602" w:rsidRDefault="00026AB4">
      <w:r>
        <w:rPr>
          <w:noProof/>
        </w:rPr>
        <w:drawing>
          <wp:inline distT="114300" distB="114300" distL="114300" distR="114300" wp14:anchorId="0A5FC42A" wp14:editId="16F54458">
            <wp:extent cx="9338400" cy="419100"/>
            <wp:effectExtent l="0" t="0" r="0" b="0"/>
            <wp:docPr id="3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84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32A272" w14:textId="77777777" w:rsidR="00D22602" w:rsidRDefault="00D22602">
      <w:pPr>
        <w:jc w:val="center"/>
      </w:pPr>
    </w:p>
    <w:p w14:paraId="2B8EBD91" w14:textId="77777777" w:rsidR="00D22602" w:rsidRDefault="00D22602">
      <w:pPr>
        <w:sectPr w:rsidR="00D22602">
          <w:pgSz w:w="15840" w:h="12240" w:orient="landscape"/>
          <w:pgMar w:top="566" w:right="566" w:bottom="566" w:left="566" w:header="0" w:footer="720" w:gutter="0"/>
          <w:cols w:space="720"/>
        </w:sectPr>
      </w:pPr>
    </w:p>
    <w:p w14:paraId="1E0B2876" w14:textId="77777777" w:rsidR="00D22602" w:rsidRDefault="00026AB4">
      <w:pPr>
        <w:pStyle w:val="Heading2"/>
        <w:jc w:val="both"/>
        <w:rPr>
          <w:color w:val="0000FF"/>
        </w:rPr>
      </w:pPr>
      <w:bookmarkStart w:id="9" w:name="_a73i51r4xbgp" w:colFirst="0" w:colLast="0"/>
      <w:bookmarkEnd w:id="9"/>
      <w:r>
        <w:rPr>
          <w:color w:val="0000FF"/>
        </w:rPr>
        <w:lastRenderedPageBreak/>
        <w:t>Best and Worst Performing ETPs</w:t>
      </w:r>
    </w:p>
    <w:p w14:paraId="2D1C06F8" w14:textId="77777777" w:rsidR="00D22602" w:rsidRDefault="00D22602"/>
    <w:p w14:paraId="2744123D" w14:textId="77777777" w:rsidR="00D22602" w:rsidRDefault="00026AB4">
      <w:pPr>
        <w:jc w:val="both"/>
      </w:pPr>
      <w:r>
        <w:t>In this section, we p</w:t>
      </w:r>
      <w:r>
        <w:t xml:space="preserve">resent </w:t>
      </w:r>
      <w:r>
        <w:rPr>
          <w:b/>
        </w:rPr>
        <w:t>which ETPs were the best and worst performers overall and on average over the past three and a half years</w:t>
      </w:r>
      <w:r>
        <w:t xml:space="preserve">. For the sake of comparability, we again use the </w:t>
      </w:r>
      <w:r>
        <w:rPr>
          <w:b/>
        </w:rPr>
        <w:t>fixed position volume method</w:t>
      </w:r>
      <w:r>
        <w:t>, each position was opened for $333,333.</w:t>
      </w:r>
    </w:p>
    <w:p w14:paraId="797C8633" w14:textId="77777777" w:rsidR="00D22602" w:rsidRDefault="00D22602">
      <w:pPr>
        <w:jc w:val="both"/>
      </w:pPr>
    </w:p>
    <w:p w14:paraId="39353CC7" w14:textId="77777777" w:rsidR="00D22602" w:rsidRDefault="00026AB4">
      <w:pPr>
        <w:jc w:val="both"/>
      </w:pPr>
      <w:r>
        <w:t xml:space="preserve">Until now, </w:t>
      </w:r>
      <w:proofErr w:type="spellStart"/>
      <w:r>
        <w:t>Luby</w:t>
      </w:r>
      <w:proofErr w:type="spellEnd"/>
      <w:r>
        <w:t xml:space="preserve"> has reco</w:t>
      </w:r>
      <w:r>
        <w:t>mmended 179 different ETPs. Of these, 32 were mentioned at least 5 times, they can be seen in Table 8. Another 70, however, were mentioned only once among the recommendations.</w:t>
      </w:r>
    </w:p>
    <w:p w14:paraId="4A6967A6" w14:textId="77777777" w:rsidR="00D22602" w:rsidRDefault="00D22602">
      <w:pPr>
        <w:jc w:val="center"/>
        <w:rPr>
          <w:sz w:val="18"/>
          <w:szCs w:val="18"/>
        </w:rPr>
      </w:pPr>
    </w:p>
    <w:p w14:paraId="48BA1E7A" w14:textId="77777777" w:rsidR="00D22602" w:rsidRDefault="00026AB4">
      <w:pPr>
        <w:jc w:val="center"/>
      </w:pPr>
      <w:r>
        <w:rPr>
          <w:sz w:val="18"/>
          <w:szCs w:val="18"/>
        </w:rPr>
        <w:t>Table 8: Most recommended ETPs until 2022-11-30</w:t>
      </w:r>
    </w:p>
    <w:p w14:paraId="272FF9A0" w14:textId="77777777" w:rsidR="00D22602" w:rsidRDefault="00026AB4">
      <w:pPr>
        <w:jc w:val="center"/>
      </w:pPr>
      <w:r>
        <w:rPr>
          <w:noProof/>
        </w:rPr>
        <w:drawing>
          <wp:inline distT="114300" distB="114300" distL="114300" distR="114300" wp14:anchorId="5A4BA993" wp14:editId="23B562CB">
            <wp:extent cx="4779253" cy="3045188"/>
            <wp:effectExtent l="0" t="0" r="0" b="0"/>
            <wp:docPr id="4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9253" cy="3045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8837A7" w14:textId="77777777" w:rsidR="00D22602" w:rsidRDefault="00D22602">
      <w:pPr>
        <w:jc w:val="both"/>
      </w:pPr>
    </w:p>
    <w:p w14:paraId="62CBFB46" w14:textId="77777777" w:rsidR="00D22602" w:rsidRDefault="00D22602">
      <w:pPr>
        <w:jc w:val="both"/>
      </w:pPr>
    </w:p>
    <w:p w14:paraId="4673A524" w14:textId="77777777" w:rsidR="00D22602" w:rsidRDefault="00D22602">
      <w:pPr>
        <w:jc w:val="both"/>
      </w:pPr>
    </w:p>
    <w:p w14:paraId="5D932174" w14:textId="77777777" w:rsidR="00D22602" w:rsidRDefault="00026AB4">
      <w:pPr>
        <w:jc w:val="both"/>
      </w:pPr>
      <w:r>
        <w:t>In the following the first</w:t>
      </w:r>
      <w:r>
        <w:t xml:space="preserve"> two tables (Table 9a-b) use </w:t>
      </w:r>
      <w:proofErr w:type="spellStart"/>
      <w:r>
        <w:t>Luby's</w:t>
      </w:r>
      <w:proofErr w:type="spellEnd"/>
      <w:r>
        <w:t xml:space="preserve"> close price, while the next two (Table 10a-b) use the next day's close price. ETPs are sorted by their performance using a 2-week holding period.</w:t>
      </w:r>
    </w:p>
    <w:p w14:paraId="70775500" w14:textId="77777777" w:rsidR="00D22602" w:rsidRDefault="00D22602">
      <w:pPr>
        <w:jc w:val="both"/>
      </w:pPr>
    </w:p>
    <w:p w14:paraId="2D04D67D" w14:textId="77777777" w:rsidR="00D22602" w:rsidRDefault="00026AB4">
      <w:pPr>
        <w:jc w:val="both"/>
        <w:rPr>
          <w:b/>
        </w:rPr>
      </w:pPr>
      <w:r>
        <w:t xml:space="preserve">As </w:t>
      </w:r>
      <w:proofErr w:type="gramStart"/>
      <w:r>
        <w:t>expected</w:t>
      </w:r>
      <w:proofErr w:type="gramEnd"/>
      <w:r>
        <w:t xml:space="preserve"> based on the previous results, the </w:t>
      </w:r>
      <w:r>
        <w:rPr>
          <w:b/>
        </w:rPr>
        <w:t>(short) volatility ETPs pe</w:t>
      </w:r>
      <w:r>
        <w:rPr>
          <w:b/>
        </w:rPr>
        <w:t>rformed by far the best in the two-week timeframe</w:t>
      </w:r>
      <w:r>
        <w:t xml:space="preserve">. However, as you can see, the </w:t>
      </w:r>
      <w:r>
        <w:rPr>
          <w:b/>
        </w:rPr>
        <w:t>performance of the</w:t>
      </w:r>
      <w:r>
        <w:t xml:space="preserve"> </w:t>
      </w:r>
      <w:r>
        <w:rPr>
          <w:b/>
        </w:rPr>
        <w:t>leveraged versions is quite fragile</w:t>
      </w:r>
      <w:r>
        <w:t xml:space="preserve"> in the sense that they can provide quite fluctuating performance over different timeframes. See </w:t>
      </w:r>
      <w:proofErr w:type="gramStart"/>
      <w:r>
        <w:t>e.g.</w:t>
      </w:r>
      <w:proofErr w:type="gramEnd"/>
      <w:r>
        <w:t xml:space="preserve"> the case of TVIX. In contrast, the</w:t>
      </w:r>
      <w:r>
        <w:rPr>
          <w:b/>
        </w:rPr>
        <w:t xml:space="preserve"> versions using maximum single leverage (VXX, SVIX) were much more balanced</w:t>
      </w:r>
      <w:r>
        <w:t xml:space="preserve">. </w:t>
      </w:r>
      <w:r>
        <w:rPr>
          <w:b/>
        </w:rPr>
        <w:t>Timing is extremely important in this categ</w:t>
      </w:r>
      <w:r>
        <w:rPr>
          <w:b/>
        </w:rPr>
        <w:t>ory.</w:t>
      </w:r>
    </w:p>
    <w:p w14:paraId="2DA54C0F" w14:textId="77777777" w:rsidR="00D22602" w:rsidRDefault="00D22602">
      <w:pPr>
        <w:jc w:val="both"/>
        <w:rPr>
          <w:b/>
        </w:rPr>
      </w:pPr>
    </w:p>
    <w:p w14:paraId="39639C56" w14:textId="77777777" w:rsidR="00D22602" w:rsidRDefault="00026AB4">
      <w:pPr>
        <w:jc w:val="both"/>
      </w:pPr>
      <w:r>
        <w:t xml:space="preserve">Competitors in the </w:t>
      </w:r>
      <w:r>
        <w:rPr>
          <w:b/>
        </w:rPr>
        <w:t>other categories performed quite mixed overall</w:t>
      </w:r>
      <w:r>
        <w:t>. For example, while some energy ETPs achieved excellent profits in the examined periods, there were also peers that performed very poorly. The same is true for tech ETPs and everyone e</w:t>
      </w:r>
      <w:r>
        <w:t xml:space="preserve">lse. Based on these, </w:t>
      </w:r>
      <w:r>
        <w:rPr>
          <w:b/>
        </w:rPr>
        <w:t>it would be difficult to say that the recommendations of some sectors should be given more weight than others</w:t>
      </w:r>
      <w:r>
        <w:t>.</w:t>
      </w:r>
    </w:p>
    <w:p w14:paraId="3D71749F" w14:textId="77777777" w:rsidR="00D22602" w:rsidRDefault="00D22602">
      <w:pPr>
        <w:jc w:val="both"/>
      </w:pPr>
    </w:p>
    <w:p w14:paraId="4493C862" w14:textId="77777777" w:rsidR="00D22602" w:rsidRDefault="00D22602">
      <w:pPr>
        <w:jc w:val="both"/>
      </w:pPr>
    </w:p>
    <w:p w14:paraId="747B4285" w14:textId="77777777" w:rsidR="00D22602" w:rsidRDefault="00D22602">
      <w:pPr>
        <w:jc w:val="center"/>
      </w:pPr>
    </w:p>
    <w:p w14:paraId="37B3F03D" w14:textId="77777777" w:rsidR="00D22602" w:rsidRDefault="00D22602">
      <w:pPr>
        <w:jc w:val="both"/>
      </w:pPr>
    </w:p>
    <w:p w14:paraId="0D141AD2" w14:textId="77777777" w:rsidR="00D22602" w:rsidRDefault="00D22602">
      <w:pPr>
        <w:jc w:val="both"/>
      </w:pPr>
    </w:p>
    <w:p w14:paraId="5755A8C7" w14:textId="77777777" w:rsidR="00D22602" w:rsidRDefault="00D22602">
      <w:pPr>
        <w:jc w:val="both"/>
      </w:pPr>
    </w:p>
    <w:p w14:paraId="0C38C6DE" w14:textId="77777777" w:rsidR="00D22602" w:rsidRDefault="00026AB4">
      <w:pPr>
        <w:jc w:val="center"/>
      </w:pPr>
      <w:r>
        <w:rPr>
          <w:sz w:val="18"/>
          <w:szCs w:val="18"/>
        </w:rPr>
        <w:lastRenderedPageBreak/>
        <w:t xml:space="preserve">Table 9a: Total dollar profits of ETPs as on 2022-11-30 - using </w:t>
      </w:r>
      <w:proofErr w:type="spellStart"/>
      <w:r>
        <w:rPr>
          <w:sz w:val="18"/>
          <w:szCs w:val="18"/>
        </w:rPr>
        <w:t>Luby’s</w:t>
      </w:r>
      <w:proofErr w:type="spellEnd"/>
      <w:r>
        <w:rPr>
          <w:sz w:val="18"/>
          <w:szCs w:val="18"/>
        </w:rPr>
        <w:t xml:space="preserve"> close price and fixed position volume calculati</w:t>
      </w:r>
      <w:r>
        <w:rPr>
          <w:sz w:val="18"/>
          <w:szCs w:val="18"/>
        </w:rPr>
        <w:t>on method</w:t>
      </w:r>
    </w:p>
    <w:p w14:paraId="7931EDB0" w14:textId="77777777" w:rsidR="00D22602" w:rsidRDefault="00D22602">
      <w:pPr>
        <w:jc w:val="both"/>
      </w:pPr>
    </w:p>
    <w:p w14:paraId="0B787E3D" w14:textId="77777777" w:rsidR="00D22602" w:rsidRDefault="00026AB4">
      <w:pPr>
        <w:jc w:val="center"/>
        <w:rPr>
          <w:color w:val="0000FF"/>
        </w:rPr>
      </w:pPr>
      <w:r>
        <w:rPr>
          <w:noProof/>
        </w:rPr>
        <w:drawing>
          <wp:inline distT="114300" distB="114300" distL="114300" distR="114300" wp14:anchorId="009BB8ED" wp14:editId="711211E5">
            <wp:extent cx="6180247" cy="8483963"/>
            <wp:effectExtent l="0" t="0" r="0" b="0"/>
            <wp:docPr id="23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0247" cy="8483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288FA308" w14:textId="77777777" w:rsidR="00D22602" w:rsidRDefault="00026AB4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Table 9b: Average dollar profits of ETPs as on 2022-11-30 - using </w:t>
      </w:r>
      <w:proofErr w:type="spellStart"/>
      <w:r>
        <w:rPr>
          <w:sz w:val="18"/>
          <w:szCs w:val="18"/>
        </w:rPr>
        <w:t>Luby’s</w:t>
      </w:r>
      <w:proofErr w:type="spellEnd"/>
      <w:r>
        <w:rPr>
          <w:sz w:val="18"/>
          <w:szCs w:val="18"/>
        </w:rPr>
        <w:t xml:space="preserve"> close price and fixed position volume calculation method</w:t>
      </w:r>
    </w:p>
    <w:p w14:paraId="296E3E94" w14:textId="77777777" w:rsidR="00D22602" w:rsidRDefault="00D22602">
      <w:pPr>
        <w:jc w:val="center"/>
        <w:rPr>
          <w:sz w:val="18"/>
          <w:szCs w:val="18"/>
        </w:rPr>
      </w:pPr>
    </w:p>
    <w:p w14:paraId="056370FC" w14:textId="77777777" w:rsidR="00D22602" w:rsidRDefault="00026AB4">
      <w:pPr>
        <w:jc w:val="center"/>
      </w:pPr>
      <w:r>
        <w:rPr>
          <w:noProof/>
        </w:rPr>
        <w:drawing>
          <wp:inline distT="114300" distB="114300" distL="114300" distR="114300" wp14:anchorId="5D456811" wp14:editId="4AB62C84">
            <wp:extent cx="6173309" cy="8417287"/>
            <wp:effectExtent l="0" t="0" r="0" b="0"/>
            <wp:docPr id="4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3309" cy="8417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F23662" w14:textId="77777777" w:rsidR="00D22602" w:rsidRDefault="00026AB4">
      <w:pPr>
        <w:jc w:val="center"/>
      </w:pPr>
      <w:r>
        <w:br w:type="page"/>
      </w:r>
    </w:p>
    <w:p w14:paraId="311D2857" w14:textId="77777777" w:rsidR="00D22602" w:rsidRDefault="00026AB4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Table 10a: Total dollar profits of ETPs as on 2022-11-30 - using next day close price and fixed position volume calculati</w:t>
      </w:r>
      <w:r>
        <w:rPr>
          <w:sz w:val="18"/>
          <w:szCs w:val="18"/>
        </w:rPr>
        <w:t>on method</w:t>
      </w:r>
    </w:p>
    <w:p w14:paraId="46A16A2C" w14:textId="77777777" w:rsidR="00D22602" w:rsidRDefault="00D22602">
      <w:pPr>
        <w:jc w:val="center"/>
        <w:rPr>
          <w:sz w:val="18"/>
          <w:szCs w:val="18"/>
        </w:rPr>
      </w:pPr>
    </w:p>
    <w:p w14:paraId="3972E849" w14:textId="77777777" w:rsidR="00D22602" w:rsidRDefault="00026AB4">
      <w:pPr>
        <w:jc w:val="center"/>
      </w:pPr>
      <w:r>
        <w:rPr>
          <w:noProof/>
        </w:rPr>
        <w:drawing>
          <wp:inline distT="114300" distB="114300" distL="114300" distR="114300" wp14:anchorId="49D6A3B6" wp14:editId="4A535C33">
            <wp:extent cx="6136889" cy="8432438"/>
            <wp:effectExtent l="0" t="0" r="0" b="0"/>
            <wp:docPr id="2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6889" cy="8432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08460B3E" w14:textId="77777777" w:rsidR="00D22602" w:rsidRDefault="00026AB4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Table 10b: Average dollar profits of ETPs as on 2022-11-30 - using next day close price and fixed position volume calculation method</w:t>
      </w:r>
    </w:p>
    <w:p w14:paraId="022A1162" w14:textId="77777777" w:rsidR="00D22602" w:rsidRDefault="00D22602">
      <w:pPr>
        <w:jc w:val="center"/>
        <w:rPr>
          <w:sz w:val="18"/>
          <w:szCs w:val="18"/>
        </w:rPr>
      </w:pPr>
    </w:p>
    <w:p w14:paraId="22E9977F" w14:textId="77777777" w:rsidR="00D22602" w:rsidRDefault="00026AB4">
      <w:pPr>
        <w:jc w:val="center"/>
      </w:pPr>
      <w:r>
        <w:rPr>
          <w:noProof/>
        </w:rPr>
        <w:drawing>
          <wp:inline distT="114300" distB="114300" distL="114300" distR="114300" wp14:anchorId="7B04FD9F" wp14:editId="0982A896">
            <wp:extent cx="6163880" cy="8480063"/>
            <wp:effectExtent l="0" t="0" r="0" b="0"/>
            <wp:docPr id="2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3880" cy="8480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65B422" w14:textId="77777777" w:rsidR="00D22602" w:rsidRDefault="00D22602"/>
    <w:p w14:paraId="36BC7AC2" w14:textId="77777777" w:rsidR="00D22602" w:rsidRDefault="00D22602">
      <w:pPr>
        <w:sectPr w:rsidR="00D22602">
          <w:pgSz w:w="12240" w:h="15840"/>
          <w:pgMar w:top="566" w:right="566" w:bottom="566" w:left="566" w:header="0" w:footer="720" w:gutter="0"/>
          <w:cols w:space="720"/>
        </w:sectPr>
      </w:pPr>
    </w:p>
    <w:p w14:paraId="77BE286F" w14:textId="77777777" w:rsidR="00D22602" w:rsidRDefault="00026AB4">
      <w:pPr>
        <w:pStyle w:val="Heading2"/>
        <w:jc w:val="both"/>
        <w:rPr>
          <w:color w:val="0000FF"/>
        </w:rPr>
      </w:pPr>
      <w:bookmarkStart w:id="10" w:name="_srlynkwqysqg" w:colFirst="0" w:colLast="0"/>
      <w:bookmarkEnd w:id="10"/>
      <w:r>
        <w:rPr>
          <w:color w:val="0000FF"/>
        </w:rPr>
        <w:lastRenderedPageBreak/>
        <w:t>Best and Worst Recommendations</w:t>
      </w:r>
    </w:p>
    <w:p w14:paraId="552220DC" w14:textId="77777777" w:rsidR="00D22602" w:rsidRDefault="00D22602">
      <w:pPr>
        <w:jc w:val="both"/>
      </w:pPr>
    </w:p>
    <w:p w14:paraId="19537F8D" w14:textId="77777777" w:rsidR="00D22602" w:rsidRDefault="00026AB4">
      <w:pPr>
        <w:jc w:val="both"/>
      </w:pPr>
      <w:r>
        <w:t xml:space="preserve">Finally, in this section, we show </w:t>
      </w:r>
      <w:r>
        <w:rPr>
          <w:b/>
        </w:rPr>
        <w:t xml:space="preserve">which recommendations have </w:t>
      </w:r>
      <w:r>
        <w:rPr>
          <w:b/>
        </w:rPr>
        <w:t>performed best and worst in the past</w:t>
      </w:r>
      <w:r>
        <w:t xml:space="preserve"> - just for the sake of curiosity. First, we examine the </w:t>
      </w:r>
      <w:r>
        <w:rPr>
          <w:b/>
        </w:rPr>
        <w:t>joint performance of all three ETPs</w:t>
      </w:r>
      <w:r>
        <w:t xml:space="preserve"> </w:t>
      </w:r>
      <w:r>
        <w:rPr>
          <w:b/>
        </w:rPr>
        <w:t xml:space="preserve">chosen </w:t>
      </w:r>
      <w:r>
        <w:t xml:space="preserve">in a given week, and then examine </w:t>
      </w:r>
      <w:r>
        <w:rPr>
          <w:b/>
        </w:rPr>
        <w:t>each proposal separately</w:t>
      </w:r>
      <w:r>
        <w:t xml:space="preserve">. Due to the complexity of the calculation, we only deal with </w:t>
      </w:r>
      <w:r>
        <w:t>holding periods of one and two weeks in this final part of the study.</w:t>
      </w:r>
    </w:p>
    <w:p w14:paraId="3350FFB8" w14:textId="77777777" w:rsidR="00D22602" w:rsidRDefault="00D22602">
      <w:pPr>
        <w:jc w:val="both"/>
      </w:pPr>
    </w:p>
    <w:p w14:paraId="456EF1DC" w14:textId="77777777" w:rsidR="00D22602" w:rsidRDefault="00026AB4">
      <w:pPr>
        <w:jc w:val="both"/>
      </w:pPr>
      <w:r>
        <w:t xml:space="preserve">As can be clearly seen in Table 11, </w:t>
      </w:r>
      <w:r>
        <w:rPr>
          <w:b/>
        </w:rPr>
        <w:t>both the average and the median joint profit are positive in the case of 1- and 2-week holding periods</w:t>
      </w:r>
      <w:r>
        <w:t xml:space="preserve">. </w:t>
      </w:r>
      <w:r>
        <w:rPr>
          <w:b/>
        </w:rPr>
        <w:t xml:space="preserve">Although the average is more than double due </w:t>
      </w:r>
      <w:r>
        <w:rPr>
          <w:b/>
        </w:rPr>
        <w:t>to the longer holding period, we do not see such a big difference in the case of the median</w:t>
      </w:r>
      <w:r>
        <w:t xml:space="preserve">. However, based on the minimum values, it can be seen that the </w:t>
      </w:r>
      <w:r>
        <w:rPr>
          <w:b/>
        </w:rPr>
        <w:t>shorter period is much more sensitive to whipsaw</w:t>
      </w:r>
      <w:r>
        <w:t>.</w:t>
      </w:r>
    </w:p>
    <w:p w14:paraId="4C4171B8" w14:textId="77777777" w:rsidR="00D22602" w:rsidRDefault="00D22602">
      <w:pPr>
        <w:jc w:val="both"/>
      </w:pPr>
    </w:p>
    <w:p w14:paraId="05B46FCC" w14:textId="77777777" w:rsidR="00D22602" w:rsidRDefault="00026AB4">
      <w:pPr>
        <w:jc w:val="both"/>
      </w:pPr>
      <w:r>
        <w:t>Tables 12a-13b contain the best and worst recommen</w:t>
      </w:r>
      <w:r>
        <w:t xml:space="preserve">dations based on the </w:t>
      </w:r>
      <w:r>
        <w:rPr>
          <w:b/>
        </w:rPr>
        <w:t>joint performance of all three ETPs chosen in a given week</w:t>
      </w:r>
      <w:r>
        <w:t xml:space="preserve">. It can be clearly seen from the numbers that </w:t>
      </w:r>
      <w:r>
        <w:rPr>
          <w:b/>
        </w:rPr>
        <w:t>in the case of both extremes, the short volatility parts usually cause the significant movement</w:t>
      </w:r>
      <w:r>
        <w:t xml:space="preserve">. Furthermore, </w:t>
      </w:r>
      <w:r>
        <w:rPr>
          <w:b/>
        </w:rPr>
        <w:t>March 2020 (covid bo</w:t>
      </w:r>
      <w:r>
        <w:rPr>
          <w:b/>
        </w:rPr>
        <w:t>ttom) appears on both sides</w:t>
      </w:r>
      <w:r>
        <w:t xml:space="preserve">. In addition, these tables also show </w:t>
      </w:r>
      <w:r>
        <w:rPr>
          <w:b/>
        </w:rPr>
        <w:t>how important timing is</w:t>
      </w:r>
      <w:r>
        <w:t xml:space="preserve">. It really matters whether we use the close prices used by </w:t>
      </w:r>
      <w:proofErr w:type="spellStart"/>
      <w:r>
        <w:t>Luby</w:t>
      </w:r>
      <w:proofErr w:type="spellEnd"/>
      <w:r>
        <w:t>, or the next day close prices available to us in reality.</w:t>
      </w:r>
    </w:p>
    <w:p w14:paraId="76319150" w14:textId="77777777" w:rsidR="00D22602" w:rsidRDefault="00D22602">
      <w:pPr>
        <w:jc w:val="both"/>
      </w:pPr>
    </w:p>
    <w:p w14:paraId="66A0B0B5" w14:textId="77777777" w:rsidR="00D22602" w:rsidRDefault="00026AB4">
      <w:pPr>
        <w:jc w:val="center"/>
        <w:rPr>
          <w:sz w:val="18"/>
          <w:szCs w:val="18"/>
        </w:rPr>
      </w:pPr>
      <w:r>
        <w:rPr>
          <w:sz w:val="18"/>
          <w:szCs w:val="18"/>
        </w:rPr>
        <w:t>Table 11: Joint performance of ETPs recommen</w:t>
      </w:r>
      <w:r>
        <w:rPr>
          <w:sz w:val="18"/>
          <w:szCs w:val="18"/>
        </w:rPr>
        <w:t>ded in a given week as on 2022-11-30</w:t>
      </w:r>
    </w:p>
    <w:p w14:paraId="3DA7F954" w14:textId="77777777" w:rsidR="00D22602" w:rsidRDefault="00D22602">
      <w:pPr>
        <w:jc w:val="center"/>
        <w:rPr>
          <w:sz w:val="18"/>
          <w:szCs w:val="18"/>
        </w:rPr>
      </w:pPr>
    </w:p>
    <w:p w14:paraId="7014E2BB" w14:textId="77777777" w:rsidR="00D22602" w:rsidRDefault="00026AB4">
      <w:pPr>
        <w:jc w:val="center"/>
      </w:pPr>
      <w:r>
        <w:rPr>
          <w:noProof/>
        </w:rPr>
        <w:drawing>
          <wp:inline distT="114300" distB="114300" distL="114300" distR="114300" wp14:anchorId="748A44A7" wp14:editId="7778A36A">
            <wp:extent cx="5203463" cy="1317437"/>
            <wp:effectExtent l="0" t="0" r="0" b="0"/>
            <wp:docPr id="4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3463" cy="13174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4B0A41" w14:textId="77777777" w:rsidR="00D22602" w:rsidRDefault="00D22602">
      <w:pPr>
        <w:jc w:val="both"/>
      </w:pPr>
    </w:p>
    <w:p w14:paraId="15D5563A" w14:textId="77777777" w:rsidR="00D22602" w:rsidRDefault="00026AB4">
      <w:r>
        <w:br w:type="page"/>
      </w:r>
    </w:p>
    <w:p w14:paraId="3459B73A" w14:textId="77777777" w:rsidR="00D22602" w:rsidRDefault="00026AB4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Table 12a: Best and worst 1-Week periods - using </w:t>
      </w:r>
      <w:proofErr w:type="spellStart"/>
      <w:r>
        <w:rPr>
          <w:sz w:val="18"/>
          <w:szCs w:val="18"/>
        </w:rPr>
        <w:t>Luby’s</w:t>
      </w:r>
      <w:proofErr w:type="spellEnd"/>
      <w:r>
        <w:rPr>
          <w:sz w:val="18"/>
          <w:szCs w:val="18"/>
        </w:rPr>
        <w:t xml:space="preserve"> close price</w:t>
      </w:r>
    </w:p>
    <w:p w14:paraId="70D702D6" w14:textId="77777777" w:rsidR="00D22602" w:rsidRDefault="00D22602">
      <w:pPr>
        <w:jc w:val="center"/>
        <w:rPr>
          <w:sz w:val="18"/>
          <w:szCs w:val="18"/>
        </w:rPr>
      </w:pPr>
    </w:p>
    <w:p w14:paraId="0394B29F" w14:textId="77777777" w:rsidR="00D22602" w:rsidRDefault="00026AB4">
      <w:pPr>
        <w:jc w:val="center"/>
      </w:pPr>
      <w:r>
        <w:rPr>
          <w:noProof/>
        </w:rPr>
        <w:drawing>
          <wp:inline distT="114300" distB="114300" distL="114300" distR="114300" wp14:anchorId="6A22174F" wp14:editId="38E53101">
            <wp:extent cx="8634413" cy="4514257"/>
            <wp:effectExtent l="0" t="0" r="0" b="0"/>
            <wp:docPr id="4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4413" cy="45142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7A95405F" w14:textId="77777777" w:rsidR="00D22602" w:rsidRDefault="00026AB4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Table 12b: Best and worst 2-Week periods - using </w:t>
      </w:r>
      <w:proofErr w:type="spellStart"/>
      <w:r>
        <w:rPr>
          <w:sz w:val="18"/>
          <w:szCs w:val="18"/>
        </w:rPr>
        <w:t>Luby’s</w:t>
      </w:r>
      <w:proofErr w:type="spellEnd"/>
      <w:r>
        <w:rPr>
          <w:sz w:val="18"/>
          <w:szCs w:val="18"/>
        </w:rPr>
        <w:t xml:space="preserve"> close price</w:t>
      </w:r>
    </w:p>
    <w:p w14:paraId="4AD368B5" w14:textId="77777777" w:rsidR="00D22602" w:rsidRDefault="00D22602">
      <w:pPr>
        <w:jc w:val="center"/>
        <w:rPr>
          <w:sz w:val="18"/>
          <w:szCs w:val="18"/>
        </w:rPr>
      </w:pPr>
    </w:p>
    <w:p w14:paraId="2B64CCAF" w14:textId="77777777" w:rsidR="00D22602" w:rsidRDefault="00026AB4">
      <w:pPr>
        <w:jc w:val="center"/>
      </w:pPr>
      <w:r>
        <w:rPr>
          <w:noProof/>
        </w:rPr>
        <w:drawing>
          <wp:inline distT="114300" distB="114300" distL="114300" distR="114300" wp14:anchorId="4B95BE24" wp14:editId="4AAC4F8E">
            <wp:extent cx="9161715" cy="5045438"/>
            <wp:effectExtent l="0" t="0" r="0" b="0"/>
            <wp:docPr id="40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61715" cy="5045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550D22C0" w14:textId="77777777" w:rsidR="00D22602" w:rsidRDefault="00026AB4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Table 13a: Best and worst 1-Week periods - using next day close price</w:t>
      </w:r>
    </w:p>
    <w:p w14:paraId="73FAFD08" w14:textId="77777777" w:rsidR="00D22602" w:rsidRDefault="00D22602">
      <w:pPr>
        <w:jc w:val="center"/>
        <w:rPr>
          <w:sz w:val="18"/>
          <w:szCs w:val="18"/>
        </w:rPr>
      </w:pPr>
    </w:p>
    <w:p w14:paraId="7ECA2193" w14:textId="77777777" w:rsidR="00D22602" w:rsidRDefault="00026AB4">
      <w:pPr>
        <w:jc w:val="center"/>
      </w:pPr>
      <w:r>
        <w:rPr>
          <w:noProof/>
        </w:rPr>
        <w:drawing>
          <wp:inline distT="114300" distB="114300" distL="114300" distR="114300" wp14:anchorId="4F74EAAE" wp14:editId="535BE4DC">
            <wp:extent cx="9338400" cy="5143500"/>
            <wp:effectExtent l="0" t="0" r="0" b="0"/>
            <wp:docPr id="29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8400" cy="514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2B770668" w14:textId="77777777" w:rsidR="00D22602" w:rsidRDefault="00026AB4">
      <w:pPr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>Table 13b: Best and worst 2-Week periods - using next day close price</w:t>
      </w:r>
    </w:p>
    <w:p w14:paraId="103D7CF4" w14:textId="77777777" w:rsidR="00D22602" w:rsidRDefault="00D22602">
      <w:pPr>
        <w:jc w:val="center"/>
        <w:rPr>
          <w:sz w:val="18"/>
          <w:szCs w:val="18"/>
        </w:rPr>
      </w:pPr>
    </w:p>
    <w:p w14:paraId="21EF66D2" w14:textId="77777777" w:rsidR="00D22602" w:rsidRDefault="00026AB4">
      <w:pPr>
        <w:jc w:val="center"/>
        <w:sectPr w:rsidR="00D22602">
          <w:pgSz w:w="15840" w:h="12240" w:orient="landscape"/>
          <w:pgMar w:top="566" w:right="566" w:bottom="566" w:left="566" w:header="0" w:footer="720" w:gutter="0"/>
          <w:cols w:space="720" w:equalWidth="0">
            <w:col w:w="14706" w:space="0"/>
          </w:cols>
        </w:sectPr>
      </w:pPr>
      <w:r>
        <w:rPr>
          <w:noProof/>
        </w:rPr>
        <w:drawing>
          <wp:inline distT="114300" distB="114300" distL="114300" distR="114300" wp14:anchorId="0767A8FD" wp14:editId="2ECA95F4">
            <wp:extent cx="9338400" cy="5130800"/>
            <wp:effectExtent l="0" t="0" r="0" b="0"/>
            <wp:docPr id="4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38400" cy="513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485962" w14:textId="77777777" w:rsidR="00D22602" w:rsidRDefault="00026AB4">
      <w:pPr>
        <w:jc w:val="both"/>
      </w:pPr>
      <w:r>
        <w:lastRenderedPageBreak/>
        <w:t xml:space="preserve">Finally, let's take a look at which of the </w:t>
      </w:r>
      <w:r>
        <w:rPr>
          <w:b/>
        </w:rPr>
        <w:t>individual recommendations</w:t>
      </w:r>
      <w:r>
        <w:t xml:space="preserve"> were the </w:t>
      </w:r>
      <w:r>
        <w:rPr>
          <w:b/>
        </w:rPr>
        <w:t>best an</w:t>
      </w:r>
      <w:r>
        <w:rPr>
          <w:b/>
        </w:rPr>
        <w:t>d worst performers</w:t>
      </w:r>
      <w:r>
        <w:t xml:space="preserve"> over the past three and a half years. Based on Table 14, one can again recognize that </w:t>
      </w:r>
      <w:r>
        <w:rPr>
          <w:b/>
        </w:rPr>
        <w:t>the use of a two-week holding period is significantly more profitable and balanced compared to its one-week competitor</w:t>
      </w:r>
      <w:r>
        <w:t>.</w:t>
      </w:r>
    </w:p>
    <w:p w14:paraId="0A99EF4E" w14:textId="77777777" w:rsidR="00D22602" w:rsidRDefault="00D22602">
      <w:pPr>
        <w:jc w:val="both"/>
      </w:pPr>
    </w:p>
    <w:p w14:paraId="4E7E29A0" w14:textId="77777777" w:rsidR="00D22602" w:rsidRDefault="00026AB4">
      <w:pPr>
        <w:jc w:val="both"/>
      </w:pPr>
      <w:r>
        <w:t>After reviewing Table 15a-18b,</w:t>
      </w:r>
      <w:r>
        <w:rPr>
          <w:b/>
        </w:rPr>
        <w:t xml:space="preserve"> no one should have the slightest doubt as to what actually drives the profitability of the strategy</w:t>
      </w:r>
      <w:r>
        <w:t xml:space="preserve">. When using both </w:t>
      </w:r>
      <w:proofErr w:type="spellStart"/>
      <w:r>
        <w:t>Luby's</w:t>
      </w:r>
      <w:proofErr w:type="spellEnd"/>
      <w:r>
        <w:t xml:space="preserve"> close price and the next day's close price, </w:t>
      </w:r>
      <w:r>
        <w:rPr>
          <w:b/>
        </w:rPr>
        <w:t>7-9 short volatility recommendations finished in the top 10</w:t>
      </w:r>
      <w:r>
        <w:t>, taking both time frames in</w:t>
      </w:r>
      <w:r>
        <w:t xml:space="preserve">to account. And </w:t>
      </w:r>
      <w:r>
        <w:rPr>
          <w:b/>
        </w:rPr>
        <w:t>although in smaller numbers, but to an even more significant extent (in terms of % change), the same ETPs are also at the top of the list of worst performers</w:t>
      </w:r>
      <w:r>
        <w:t>. Furthermore, these tables also show what we have said several times before: timin</w:t>
      </w:r>
      <w:r>
        <w:t xml:space="preserve">g is very important, especially in the case of a shorter holding period. </w:t>
      </w:r>
    </w:p>
    <w:p w14:paraId="590FB1FF" w14:textId="77777777" w:rsidR="00D22602" w:rsidRDefault="00D22602">
      <w:pPr>
        <w:jc w:val="both"/>
      </w:pPr>
    </w:p>
    <w:p w14:paraId="4A2C596E" w14:textId="77777777" w:rsidR="00D22602" w:rsidRDefault="00026AB4">
      <w:pPr>
        <w:jc w:val="center"/>
      </w:pPr>
      <w:r>
        <w:rPr>
          <w:sz w:val="18"/>
          <w:szCs w:val="18"/>
        </w:rPr>
        <w:t xml:space="preserve">Table 14: Individual performance of ETPs recommended </w:t>
      </w:r>
      <w:proofErr w:type="gramStart"/>
      <w:r>
        <w:rPr>
          <w:sz w:val="18"/>
          <w:szCs w:val="18"/>
        </w:rPr>
        <w:t>until  2022</w:t>
      </w:r>
      <w:proofErr w:type="gramEnd"/>
      <w:r>
        <w:rPr>
          <w:sz w:val="18"/>
          <w:szCs w:val="18"/>
        </w:rPr>
        <w:t>-11-30</w:t>
      </w:r>
    </w:p>
    <w:p w14:paraId="226FA9FA" w14:textId="77777777" w:rsidR="00D22602" w:rsidRDefault="00026AB4">
      <w:pPr>
        <w:jc w:val="center"/>
      </w:pPr>
      <w:r>
        <w:rPr>
          <w:noProof/>
        </w:rPr>
        <w:drawing>
          <wp:inline distT="114300" distB="114300" distL="114300" distR="114300" wp14:anchorId="2CE77348" wp14:editId="463E4921">
            <wp:extent cx="5324475" cy="1340224"/>
            <wp:effectExtent l="0" t="0" r="0" b="0"/>
            <wp:docPr id="3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340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D8AD91" w14:textId="77777777" w:rsidR="00D22602" w:rsidRDefault="00026AB4">
      <w:r>
        <w:br w:type="page"/>
      </w:r>
    </w:p>
    <w:p w14:paraId="0387740A" w14:textId="77777777" w:rsidR="00D22602" w:rsidRDefault="00026AB4">
      <w:pPr>
        <w:jc w:val="center"/>
      </w:pPr>
      <w:r>
        <w:rPr>
          <w:sz w:val="18"/>
          <w:szCs w:val="18"/>
        </w:rPr>
        <w:lastRenderedPageBreak/>
        <w:t xml:space="preserve">Table 15a: Best 1-Week performers - using </w:t>
      </w:r>
      <w:proofErr w:type="spellStart"/>
      <w:r>
        <w:rPr>
          <w:sz w:val="18"/>
          <w:szCs w:val="18"/>
        </w:rPr>
        <w:t>Luby’s</w:t>
      </w:r>
      <w:proofErr w:type="spellEnd"/>
      <w:r>
        <w:rPr>
          <w:sz w:val="18"/>
          <w:szCs w:val="18"/>
        </w:rPr>
        <w:t xml:space="preserve"> close price</w:t>
      </w:r>
    </w:p>
    <w:p w14:paraId="7E7B475F" w14:textId="77777777" w:rsidR="00D22602" w:rsidRDefault="00026AB4">
      <w:r>
        <w:rPr>
          <w:noProof/>
        </w:rPr>
        <w:drawing>
          <wp:inline distT="114300" distB="114300" distL="114300" distR="114300" wp14:anchorId="5E8844C3" wp14:editId="2CC2DB83">
            <wp:extent cx="7052400" cy="7353300"/>
            <wp:effectExtent l="0" t="0" r="0" b="0"/>
            <wp:docPr id="5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735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5A6DFA00" w14:textId="77777777" w:rsidR="00D22602" w:rsidRDefault="00026AB4">
      <w:pPr>
        <w:jc w:val="center"/>
      </w:pPr>
      <w:r>
        <w:rPr>
          <w:sz w:val="18"/>
          <w:szCs w:val="18"/>
        </w:rPr>
        <w:lastRenderedPageBreak/>
        <w:t>Table 15b: Worst 1-Week performers - using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Luby’s</w:t>
      </w:r>
      <w:proofErr w:type="spellEnd"/>
      <w:r>
        <w:rPr>
          <w:sz w:val="18"/>
          <w:szCs w:val="18"/>
        </w:rPr>
        <w:t xml:space="preserve"> close price</w:t>
      </w:r>
    </w:p>
    <w:p w14:paraId="481CC0D2" w14:textId="77777777" w:rsidR="00D22602" w:rsidRDefault="00026AB4">
      <w:r>
        <w:rPr>
          <w:noProof/>
        </w:rPr>
        <w:drawing>
          <wp:inline distT="114300" distB="114300" distL="114300" distR="114300" wp14:anchorId="4A6BEEEE" wp14:editId="29B9FF19">
            <wp:extent cx="7052400" cy="7340600"/>
            <wp:effectExtent l="0" t="0" r="0" b="0"/>
            <wp:docPr id="3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734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121E0492" w14:textId="77777777" w:rsidR="00D22602" w:rsidRDefault="00026AB4">
      <w:pPr>
        <w:jc w:val="center"/>
      </w:pPr>
      <w:r>
        <w:rPr>
          <w:sz w:val="18"/>
          <w:szCs w:val="18"/>
        </w:rPr>
        <w:lastRenderedPageBreak/>
        <w:t xml:space="preserve">Table 16a: Best 2-Week performers - using </w:t>
      </w:r>
      <w:proofErr w:type="spellStart"/>
      <w:r>
        <w:rPr>
          <w:sz w:val="18"/>
          <w:szCs w:val="18"/>
        </w:rPr>
        <w:t>Luby’s</w:t>
      </w:r>
      <w:proofErr w:type="spellEnd"/>
      <w:r>
        <w:rPr>
          <w:sz w:val="18"/>
          <w:szCs w:val="18"/>
        </w:rPr>
        <w:t xml:space="preserve"> close price</w:t>
      </w:r>
    </w:p>
    <w:p w14:paraId="24A20512" w14:textId="77777777" w:rsidR="00D22602" w:rsidRDefault="00026AB4">
      <w:r>
        <w:rPr>
          <w:noProof/>
        </w:rPr>
        <w:drawing>
          <wp:inline distT="114300" distB="114300" distL="114300" distR="114300" wp14:anchorId="5F7C255E" wp14:editId="38B26556">
            <wp:extent cx="7052400" cy="7366000"/>
            <wp:effectExtent l="0" t="0" r="0" b="0"/>
            <wp:docPr id="20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736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76A94792" w14:textId="77777777" w:rsidR="00D22602" w:rsidRDefault="00026AB4">
      <w:pPr>
        <w:jc w:val="center"/>
      </w:pPr>
      <w:r>
        <w:rPr>
          <w:sz w:val="18"/>
          <w:szCs w:val="18"/>
        </w:rPr>
        <w:lastRenderedPageBreak/>
        <w:t xml:space="preserve">Table 16b: Worst 2-Week performers - using </w:t>
      </w:r>
      <w:proofErr w:type="spellStart"/>
      <w:r>
        <w:rPr>
          <w:sz w:val="18"/>
          <w:szCs w:val="18"/>
        </w:rPr>
        <w:t>Luby’s</w:t>
      </w:r>
      <w:proofErr w:type="spellEnd"/>
      <w:r>
        <w:rPr>
          <w:sz w:val="18"/>
          <w:szCs w:val="18"/>
        </w:rPr>
        <w:t xml:space="preserve"> close price</w:t>
      </w:r>
    </w:p>
    <w:p w14:paraId="572BA98B" w14:textId="77777777" w:rsidR="00D22602" w:rsidRDefault="00026AB4">
      <w:r>
        <w:rPr>
          <w:noProof/>
        </w:rPr>
        <w:drawing>
          <wp:inline distT="114300" distB="114300" distL="114300" distR="114300" wp14:anchorId="2EE65415" wp14:editId="55347A2D">
            <wp:extent cx="7052400" cy="7366000"/>
            <wp:effectExtent l="0" t="0" r="0" b="0"/>
            <wp:docPr id="2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736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41141CED" w14:textId="77777777" w:rsidR="00D22602" w:rsidRDefault="00026AB4">
      <w:pPr>
        <w:jc w:val="center"/>
      </w:pPr>
      <w:r>
        <w:rPr>
          <w:sz w:val="18"/>
          <w:szCs w:val="18"/>
        </w:rPr>
        <w:lastRenderedPageBreak/>
        <w:t>Table 17a: Best 1-Week performers - using next day close price</w:t>
      </w:r>
    </w:p>
    <w:p w14:paraId="3BA68B5C" w14:textId="77777777" w:rsidR="00D22602" w:rsidRDefault="00026AB4">
      <w:r>
        <w:rPr>
          <w:noProof/>
        </w:rPr>
        <w:drawing>
          <wp:inline distT="114300" distB="114300" distL="114300" distR="114300" wp14:anchorId="593FF44D" wp14:editId="058C13A7">
            <wp:extent cx="7052400" cy="7340600"/>
            <wp:effectExtent l="0" t="0" r="0" b="0"/>
            <wp:docPr id="5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734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7F3D2B66" w14:textId="77777777" w:rsidR="00D22602" w:rsidRDefault="00026AB4">
      <w:pPr>
        <w:jc w:val="center"/>
      </w:pPr>
      <w:r>
        <w:rPr>
          <w:sz w:val="18"/>
          <w:szCs w:val="18"/>
        </w:rPr>
        <w:lastRenderedPageBreak/>
        <w:t>Table 17b: Worst 1-Week performers - using next day close price</w:t>
      </w:r>
    </w:p>
    <w:p w14:paraId="68B6E63B" w14:textId="77777777" w:rsidR="00D22602" w:rsidRDefault="00026AB4">
      <w:r>
        <w:rPr>
          <w:noProof/>
        </w:rPr>
        <w:drawing>
          <wp:inline distT="114300" distB="114300" distL="114300" distR="114300" wp14:anchorId="69DAB3CC" wp14:editId="063099EA">
            <wp:extent cx="7052400" cy="7353300"/>
            <wp:effectExtent l="0" t="0" r="0" b="0"/>
            <wp:docPr id="36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735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4BAB6124" w14:textId="77777777" w:rsidR="00D22602" w:rsidRDefault="00026AB4">
      <w:pPr>
        <w:jc w:val="center"/>
      </w:pPr>
      <w:r>
        <w:rPr>
          <w:sz w:val="18"/>
          <w:szCs w:val="18"/>
        </w:rPr>
        <w:lastRenderedPageBreak/>
        <w:t>Table 18a: Best 2-Week performers - using next day close price</w:t>
      </w:r>
    </w:p>
    <w:p w14:paraId="08BA77A6" w14:textId="77777777" w:rsidR="00D22602" w:rsidRDefault="00026AB4">
      <w:r>
        <w:rPr>
          <w:noProof/>
        </w:rPr>
        <w:drawing>
          <wp:inline distT="114300" distB="114300" distL="114300" distR="114300" wp14:anchorId="118D62B4" wp14:editId="78104BCF">
            <wp:extent cx="7052400" cy="7289800"/>
            <wp:effectExtent l="0" t="0" r="0" b="0"/>
            <wp:docPr id="1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728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748CDF69" w14:textId="77777777" w:rsidR="00D22602" w:rsidRDefault="00026AB4">
      <w:pPr>
        <w:jc w:val="center"/>
      </w:pPr>
      <w:r>
        <w:rPr>
          <w:sz w:val="18"/>
          <w:szCs w:val="18"/>
        </w:rPr>
        <w:lastRenderedPageBreak/>
        <w:t>Table 18b: Worst 2-Week performers - using next day close price</w:t>
      </w:r>
    </w:p>
    <w:p w14:paraId="5B63C39E" w14:textId="77777777" w:rsidR="00D22602" w:rsidRDefault="00026AB4">
      <w:r>
        <w:rPr>
          <w:noProof/>
        </w:rPr>
        <w:drawing>
          <wp:inline distT="114300" distB="114300" distL="114300" distR="114300" wp14:anchorId="24393BC9" wp14:editId="42B763F6">
            <wp:extent cx="7052400" cy="7289800"/>
            <wp:effectExtent l="0" t="0" r="0" b="0"/>
            <wp:docPr id="35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728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5463A2" w14:textId="77777777" w:rsidR="00D22602" w:rsidRDefault="00D22602"/>
    <w:p w14:paraId="497F1285" w14:textId="77777777" w:rsidR="00D22602" w:rsidRDefault="00026AB4">
      <w:pPr>
        <w:pStyle w:val="Heading1"/>
        <w:jc w:val="both"/>
        <w:rPr>
          <w:b/>
          <w:color w:val="38761D"/>
        </w:rPr>
      </w:pPr>
      <w:bookmarkStart w:id="11" w:name="_w3tpjpenivi4" w:colFirst="0" w:colLast="0"/>
      <w:bookmarkEnd w:id="11"/>
      <w:r>
        <w:br w:type="page"/>
      </w:r>
    </w:p>
    <w:p w14:paraId="2AF65BE6" w14:textId="77777777" w:rsidR="00D22602" w:rsidRDefault="00026AB4">
      <w:pPr>
        <w:pStyle w:val="Heading1"/>
        <w:jc w:val="both"/>
      </w:pPr>
      <w:bookmarkStart w:id="12" w:name="_p9ljmkh5rh3f" w:colFirst="0" w:colLast="0"/>
      <w:bookmarkEnd w:id="12"/>
      <w:r>
        <w:rPr>
          <w:b/>
          <w:color w:val="38761D"/>
        </w:rPr>
        <w:lastRenderedPageBreak/>
        <w:t>Conclusions</w:t>
      </w:r>
    </w:p>
    <w:p w14:paraId="48304964" w14:textId="77777777" w:rsidR="00D22602" w:rsidRDefault="00D22602">
      <w:pPr>
        <w:jc w:val="both"/>
      </w:pPr>
    </w:p>
    <w:p w14:paraId="7F7C5C10" w14:textId="77777777" w:rsidR="00D22602" w:rsidRDefault="00026AB4">
      <w:pPr>
        <w:jc w:val="both"/>
      </w:pPr>
      <w:r>
        <w:t xml:space="preserve">In this study, we </w:t>
      </w:r>
      <w:r>
        <w:rPr>
          <w:b/>
        </w:rPr>
        <w:t xml:space="preserve">dug deeper into Bill </w:t>
      </w:r>
      <w:proofErr w:type="spellStart"/>
      <w:r>
        <w:rPr>
          <w:b/>
        </w:rPr>
        <w:t>Luby's</w:t>
      </w:r>
      <w:proofErr w:type="spellEnd"/>
      <w:r>
        <w:rPr>
          <w:b/>
        </w:rPr>
        <w:t xml:space="preserve"> 'Featured ETP Trade Ideas'</w:t>
      </w:r>
      <w:r>
        <w:t>.</w:t>
      </w:r>
    </w:p>
    <w:p w14:paraId="60E4D0BD" w14:textId="77777777" w:rsidR="00D22602" w:rsidRDefault="00026AB4">
      <w:pPr>
        <w:jc w:val="both"/>
      </w:pPr>
      <w:r>
        <w:t xml:space="preserve"> </w:t>
      </w:r>
    </w:p>
    <w:p w14:paraId="4528D779" w14:textId="77777777" w:rsidR="00D22602" w:rsidRDefault="00026AB4">
      <w:pPr>
        <w:jc w:val="both"/>
        <w:rPr>
          <w:b/>
        </w:rPr>
      </w:pPr>
      <w:r>
        <w:rPr>
          <w:b/>
        </w:rPr>
        <w:t>The key takeaways we concluded:</w:t>
      </w:r>
    </w:p>
    <w:p w14:paraId="4ADF1D9D" w14:textId="77777777" w:rsidR="00D22602" w:rsidRDefault="00026AB4">
      <w:pPr>
        <w:numPr>
          <w:ilvl w:val="0"/>
          <w:numId w:val="1"/>
        </w:numPr>
        <w:spacing w:before="100"/>
        <w:jc w:val="both"/>
      </w:pPr>
      <w:r>
        <w:t xml:space="preserve">The </w:t>
      </w:r>
      <w:r>
        <w:rPr>
          <w:b/>
        </w:rPr>
        <w:t xml:space="preserve">profitability figures reported by </w:t>
      </w:r>
      <w:proofErr w:type="spellStart"/>
      <w:r>
        <w:rPr>
          <w:b/>
        </w:rPr>
        <w:t>Luby</w:t>
      </w:r>
      <w:proofErr w:type="spellEnd"/>
      <w:r>
        <w:rPr>
          <w:b/>
        </w:rPr>
        <w:t xml:space="preserve"> in his newsletter should not be taken seriously</w:t>
      </w:r>
      <w:r>
        <w:t xml:space="preserve">, they are full of serious hindsight bias and misrepresentations. He should </w:t>
      </w:r>
      <w:r>
        <w:t>have reported a huge loss when the short TVIX tripled, but he cheated that away from his statistics.</w:t>
      </w:r>
    </w:p>
    <w:p w14:paraId="6C7FF603" w14:textId="77777777" w:rsidR="00D22602" w:rsidRDefault="00026AB4">
      <w:pPr>
        <w:numPr>
          <w:ilvl w:val="0"/>
          <w:numId w:val="1"/>
        </w:numPr>
        <w:spacing w:before="100"/>
        <w:jc w:val="both"/>
      </w:pPr>
      <w:r>
        <w:rPr>
          <w:b/>
        </w:rPr>
        <w:t>Shorting leveraged volatility ETPs is very dangerous for the strategy</w:t>
      </w:r>
      <w:r>
        <w:t>, as it can cause losses of up to 100% (see March 2020). Our remedy is to use only the</w:t>
      </w:r>
      <w:r>
        <w:t xml:space="preserve"> non-leveraged VXX whenever he suggests a leveraged volatility ETP.</w:t>
      </w:r>
    </w:p>
    <w:p w14:paraId="040DB31A" w14:textId="77777777" w:rsidR="00D22602" w:rsidRDefault="00026AB4">
      <w:pPr>
        <w:numPr>
          <w:ilvl w:val="0"/>
          <w:numId w:val="1"/>
        </w:numPr>
        <w:spacing w:before="100"/>
        <w:jc w:val="both"/>
      </w:pPr>
      <w:r>
        <w:rPr>
          <w:b/>
        </w:rPr>
        <w:t>‘Country’, ‘Other’ and ‘Commodity</w:t>
      </w:r>
      <w:proofErr w:type="gramStart"/>
      <w:r>
        <w:rPr>
          <w:b/>
        </w:rPr>
        <w:t>’  are</w:t>
      </w:r>
      <w:proofErr w:type="gramEnd"/>
      <w:r>
        <w:rPr>
          <w:b/>
        </w:rPr>
        <w:t xml:space="preserve"> the most recommended ETP categories</w:t>
      </w:r>
      <w:r>
        <w:t xml:space="preserve"> (It can be seen in the ‘Sum of </w:t>
      </w:r>
      <w:proofErr w:type="spellStart"/>
      <w:r>
        <w:t>NoSelection</w:t>
      </w:r>
      <w:proofErr w:type="spellEnd"/>
      <w:r>
        <w:t xml:space="preserve">’ column), while </w:t>
      </w:r>
      <w:r>
        <w:rPr>
          <w:b/>
        </w:rPr>
        <w:t>‘Healthcare’, ‘Real estate’ and ‘Market-index’ are at</w:t>
      </w:r>
      <w:r>
        <w:rPr>
          <w:b/>
        </w:rPr>
        <w:t xml:space="preserve"> the other end of the line</w:t>
      </w:r>
      <w:r>
        <w:t xml:space="preserve">. </w:t>
      </w:r>
    </w:p>
    <w:p w14:paraId="1C9C900A" w14:textId="77777777" w:rsidR="00D22602" w:rsidRDefault="00026AB4">
      <w:pPr>
        <w:numPr>
          <w:ilvl w:val="0"/>
          <w:numId w:val="1"/>
        </w:numPr>
        <w:spacing w:before="100"/>
        <w:jc w:val="both"/>
      </w:pPr>
      <w:r>
        <w:rPr>
          <w:b/>
        </w:rPr>
        <w:t>If shorter holding periods are used, there is a large difference in the case of some categories when two different prices (</w:t>
      </w:r>
      <w:proofErr w:type="spellStart"/>
      <w:r>
        <w:rPr>
          <w:b/>
        </w:rPr>
        <w:t>Luby’s</w:t>
      </w:r>
      <w:proofErr w:type="spellEnd"/>
      <w:r>
        <w:rPr>
          <w:b/>
        </w:rPr>
        <w:t xml:space="preserve"> and next day close) are applied</w:t>
      </w:r>
      <w:r>
        <w:t xml:space="preserve">. For example, if </w:t>
      </w:r>
      <w:proofErr w:type="spellStart"/>
      <w:r>
        <w:t>Luby's</w:t>
      </w:r>
      <w:proofErr w:type="spellEnd"/>
      <w:r>
        <w:t xml:space="preserve"> close price is applied, the amount of $ p</w:t>
      </w:r>
      <w:r>
        <w:t xml:space="preserve">rofits for one week is -$11,653, while for transactions one day later, this value is +$360,055. What a difference! </w:t>
      </w:r>
      <w:r>
        <w:rPr>
          <w:b/>
        </w:rPr>
        <w:t xml:space="preserve">In the case of longer holding periods (2 weeks), the strategy is less price sensitive, and the possible effects of large daily movements are </w:t>
      </w:r>
      <w:r>
        <w:rPr>
          <w:b/>
        </w:rPr>
        <w:t>better balanced.</w:t>
      </w:r>
    </w:p>
    <w:p w14:paraId="3D4E8DD3" w14:textId="77777777" w:rsidR="00D22602" w:rsidRDefault="00026AB4">
      <w:pPr>
        <w:numPr>
          <w:ilvl w:val="0"/>
          <w:numId w:val="1"/>
        </w:numPr>
        <w:spacing w:before="100"/>
        <w:jc w:val="both"/>
      </w:pPr>
      <w:r>
        <w:rPr>
          <w:b/>
        </w:rPr>
        <w:t xml:space="preserve">The categories 'Volatility', 'Energy', 'Healthcare' and 'Technology' have the best cumulative and average performance. </w:t>
      </w:r>
      <w:r>
        <w:t>His Energy selection was good, but his Country selection was average (gave the average profit), not exceptional. Meanwhi</w:t>
      </w:r>
      <w:r>
        <w:t xml:space="preserve">le, </w:t>
      </w:r>
      <w:r>
        <w:rPr>
          <w:b/>
        </w:rPr>
        <w:t>accepting the recommendations for the 'Discretionary spending</w:t>
      </w:r>
      <w:proofErr w:type="gramStart"/>
      <w:r>
        <w:rPr>
          <w:b/>
        </w:rPr>
        <w:t>',  '</w:t>
      </w:r>
      <w:proofErr w:type="gramEnd"/>
      <w:r>
        <w:rPr>
          <w:b/>
        </w:rPr>
        <w:t xml:space="preserve">Real-estate' and ‘Market-index’ categories was not the idea of the century. </w:t>
      </w:r>
      <w:r>
        <w:t>Fortunately, he rarely mentioned the latter categories (below 5% of time).</w:t>
      </w:r>
    </w:p>
    <w:p w14:paraId="09A3A85B" w14:textId="77777777" w:rsidR="00D22602" w:rsidRDefault="00026AB4">
      <w:pPr>
        <w:numPr>
          <w:ilvl w:val="0"/>
          <w:numId w:val="1"/>
        </w:numPr>
        <w:spacing w:before="100"/>
        <w:jc w:val="both"/>
      </w:pPr>
      <w:r>
        <w:rPr>
          <w:b/>
        </w:rPr>
        <w:t>In fact, volatility ETPs are what d</w:t>
      </w:r>
      <w:r>
        <w:rPr>
          <w:b/>
        </w:rPr>
        <w:t xml:space="preserve">rive the strategy's profitability (50%-60% as a rough estimate for the </w:t>
      </w:r>
      <w:proofErr w:type="gramStart"/>
      <w:r>
        <w:rPr>
          <w:b/>
        </w:rPr>
        <w:t>2 week</w:t>
      </w:r>
      <w:proofErr w:type="gramEnd"/>
      <w:r>
        <w:rPr>
          <w:b/>
        </w:rPr>
        <w:t xml:space="preserve"> version).</w:t>
      </w:r>
    </w:p>
    <w:p w14:paraId="667E5039" w14:textId="77777777" w:rsidR="00D22602" w:rsidRDefault="00D22602">
      <w:pPr>
        <w:jc w:val="both"/>
        <w:rPr>
          <w:b/>
        </w:rPr>
      </w:pPr>
    </w:p>
    <w:p w14:paraId="16D87825" w14:textId="77777777" w:rsidR="00D22602" w:rsidRDefault="00026AB4">
      <w:pPr>
        <w:jc w:val="both"/>
      </w:pPr>
      <w:r>
        <w:t xml:space="preserve">With the above in mind, </w:t>
      </w:r>
      <w:r>
        <w:rPr>
          <w:b/>
        </w:rPr>
        <w:t>more cautious investors might think it would be wise to ignore all volatility recommendations</w:t>
      </w:r>
      <w:r>
        <w:t xml:space="preserve"> (or even simply replace them with SPY). However, </w:t>
      </w:r>
      <w:r>
        <w:t xml:space="preserve">as we have seen, </w:t>
      </w:r>
      <w:r>
        <w:rPr>
          <w:b/>
        </w:rPr>
        <w:t>without them the strategy will not be very profitable (especially since the end of the post-covid market rally)</w:t>
      </w:r>
      <w:r>
        <w:t xml:space="preserve">. Based on all of this, </w:t>
      </w:r>
      <w:r>
        <w:rPr>
          <w:b/>
        </w:rPr>
        <w:t>we continue recommending replacing all volatility recommendations with single leveraged VXX</w:t>
      </w:r>
      <w:r>
        <w:t>. This recomm</w:t>
      </w:r>
      <w:r>
        <w:t xml:space="preserve">endation is worth considering if only because, according to the new rules, all volatility ETPs other than VXX fall under the rules for </w:t>
      </w:r>
      <w:r>
        <w:rPr>
          <w:b/>
        </w:rPr>
        <w:t>‘PTP’</w:t>
      </w:r>
      <w:r>
        <w:t xml:space="preserve">s (see </w:t>
      </w:r>
      <w:hyperlink r:id="rId54">
        <w:r>
          <w:rPr>
            <w:color w:val="1155CC"/>
            <w:u w:val="single"/>
          </w:rPr>
          <w:t>here</w:t>
        </w:r>
      </w:hyperlink>
      <w:r>
        <w:t>).</w:t>
      </w:r>
    </w:p>
    <w:p w14:paraId="0985EA54" w14:textId="77777777" w:rsidR="00D22602" w:rsidRDefault="00D22602">
      <w:pPr>
        <w:jc w:val="both"/>
      </w:pPr>
    </w:p>
    <w:p w14:paraId="717B458B" w14:textId="77777777" w:rsidR="00D22602" w:rsidRDefault="00026AB4">
      <w:pPr>
        <w:jc w:val="both"/>
      </w:pPr>
      <w:r>
        <w:t xml:space="preserve">Furthermore, we </w:t>
      </w:r>
      <w:r>
        <w:rPr>
          <w:b/>
        </w:rPr>
        <w:t>continue recommending using the 2-week</w:t>
      </w:r>
      <w:r>
        <w:rPr>
          <w:b/>
        </w:rPr>
        <w:t xml:space="preserve"> holding period</w:t>
      </w:r>
      <w:r>
        <w:t xml:space="preserve"> in real life. Our method so far differs from those on Chart 6 in that we do not use double leverage, but</w:t>
      </w:r>
      <w:r>
        <w:rPr>
          <w:b/>
        </w:rPr>
        <w:t xml:space="preserve"> open each new position with 1/6 of the PV.</w:t>
      </w:r>
      <w:r>
        <w:t xml:space="preserve"> This might help us </w:t>
      </w:r>
      <w:r>
        <w:rPr>
          <w:b/>
        </w:rPr>
        <w:t>avoid bigger losses</w:t>
      </w:r>
      <w:r>
        <w:t xml:space="preserve"> and help us </w:t>
      </w:r>
      <w:r>
        <w:rPr>
          <w:b/>
        </w:rPr>
        <w:t xml:space="preserve">profitably play </w:t>
      </w:r>
      <w:proofErr w:type="spellStart"/>
      <w:r>
        <w:rPr>
          <w:b/>
        </w:rPr>
        <w:t>Luby's</w:t>
      </w:r>
      <w:proofErr w:type="spellEnd"/>
      <w:r>
        <w:rPr>
          <w:b/>
        </w:rPr>
        <w:t xml:space="preserve"> recommendations in</w:t>
      </w:r>
      <w:r>
        <w:rPr>
          <w:b/>
        </w:rPr>
        <w:t xml:space="preserve"> the long run</w:t>
      </w:r>
      <w:r>
        <w:t>.</w:t>
      </w:r>
    </w:p>
    <w:p w14:paraId="2127EC12" w14:textId="77777777" w:rsidR="00D22602" w:rsidRDefault="00D22602">
      <w:pPr>
        <w:jc w:val="both"/>
      </w:pPr>
    </w:p>
    <w:p w14:paraId="13982AB6" w14:textId="77777777" w:rsidR="00D22602" w:rsidRDefault="00D22602">
      <w:pPr>
        <w:jc w:val="both"/>
      </w:pPr>
    </w:p>
    <w:p w14:paraId="4FAB361F" w14:textId="77777777" w:rsidR="00D22602" w:rsidRDefault="00026AB4">
      <w:pPr>
        <w:jc w:val="center"/>
        <w:rPr>
          <w:sz w:val="18"/>
          <w:szCs w:val="18"/>
        </w:rPr>
      </w:pPr>
      <w:r>
        <w:br w:type="page"/>
      </w:r>
    </w:p>
    <w:p w14:paraId="76483154" w14:textId="77777777" w:rsidR="00D22602" w:rsidRDefault="00026AB4">
      <w:pPr>
        <w:jc w:val="center"/>
      </w:pPr>
      <w:r>
        <w:rPr>
          <w:sz w:val="18"/>
          <w:szCs w:val="18"/>
        </w:rPr>
        <w:lastRenderedPageBreak/>
        <w:t xml:space="preserve">Chart 6: PVs of our </w:t>
      </w:r>
      <w:proofErr w:type="spellStart"/>
      <w:r>
        <w:rPr>
          <w:sz w:val="18"/>
          <w:szCs w:val="18"/>
        </w:rPr>
        <w:t>backtests</w:t>
      </w:r>
      <w:proofErr w:type="spellEnd"/>
      <w:r>
        <w:rPr>
          <w:sz w:val="18"/>
          <w:szCs w:val="18"/>
        </w:rPr>
        <w:t xml:space="preserve"> on 2022-11-30 - using next day close price and simple VXX instead of leveraged volatility ETPs</w:t>
      </w:r>
    </w:p>
    <w:p w14:paraId="4A995D33" w14:textId="77777777" w:rsidR="00D22602" w:rsidRDefault="00026AB4">
      <w:pPr>
        <w:jc w:val="both"/>
      </w:pPr>
      <w:r>
        <w:rPr>
          <w:noProof/>
        </w:rPr>
        <w:drawing>
          <wp:inline distT="114300" distB="114300" distL="114300" distR="114300" wp14:anchorId="1082BB52" wp14:editId="0259024C">
            <wp:extent cx="7052400" cy="4851400"/>
            <wp:effectExtent l="0" t="0" r="0" b="0"/>
            <wp:docPr id="39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485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22602">
      <w:pgSz w:w="12240" w:h="15840"/>
      <w:pgMar w:top="566" w:right="566" w:bottom="566" w:left="566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56D76" w14:textId="77777777" w:rsidR="00026AB4" w:rsidRDefault="00026AB4">
      <w:pPr>
        <w:spacing w:line="240" w:lineRule="auto"/>
      </w:pPr>
      <w:r>
        <w:separator/>
      </w:r>
    </w:p>
  </w:endnote>
  <w:endnote w:type="continuationSeparator" w:id="0">
    <w:p w14:paraId="6FE57526" w14:textId="77777777" w:rsidR="00026AB4" w:rsidRDefault="00026A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ibre Baskerville">
    <w:charset w:val="00"/>
    <w:family w:val="auto"/>
    <w:pitch w:val="default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F8539" w14:textId="77777777" w:rsidR="0017148F" w:rsidRDefault="001714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47F4B" w14:textId="77777777" w:rsidR="00D22602" w:rsidRDefault="00026AB4">
    <w:pPr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 w:rsidR="0017148F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13063" w14:textId="77777777" w:rsidR="0017148F" w:rsidRDefault="001714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7EF2EA" w14:textId="77777777" w:rsidR="00026AB4" w:rsidRDefault="00026AB4">
      <w:pPr>
        <w:spacing w:line="240" w:lineRule="auto"/>
      </w:pPr>
      <w:r>
        <w:separator/>
      </w:r>
    </w:p>
  </w:footnote>
  <w:footnote w:type="continuationSeparator" w:id="0">
    <w:p w14:paraId="12BE5979" w14:textId="77777777" w:rsidR="00026AB4" w:rsidRDefault="00026A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629AA" w14:textId="77777777" w:rsidR="0017148F" w:rsidRDefault="0017148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9A545" w14:textId="4CDE7101" w:rsidR="00D22602" w:rsidRDefault="00026AB4">
    <w:pPr>
      <w:pBdr>
        <w:top w:val="nil"/>
        <w:left w:val="nil"/>
        <w:bottom w:val="nil"/>
        <w:right w:val="nil"/>
        <w:between w:val="nil"/>
      </w:pBdr>
    </w:pPr>
    <w:r>
      <w:t xml:space="preserve">Performance analysis of </w:t>
    </w:r>
    <w:proofErr w:type="spellStart"/>
    <w:r>
      <w:t>Luby's</w:t>
    </w:r>
    <w:proofErr w:type="spellEnd"/>
    <w:r>
      <w:t xml:space="preserve"> Featured ETP Trade Ideas</w:t>
    </w:r>
    <w:r>
      <w:tab/>
      <w:t xml:space="preserve">   by </w:t>
    </w:r>
    <w:r w:rsidR="0017148F">
      <w:t>Dr. George Antal</w:t>
    </w:r>
    <w:r>
      <w:t xml:space="preserve">, 3DClick Ltd. </w:t>
    </w:r>
    <w:r>
      <w:tab/>
      <w:t xml:space="preserve"> 2023-0</w:t>
    </w:r>
    <w:r w:rsidR="005D490F">
      <w:t>8</w:t>
    </w:r>
    <w:r>
      <w:t>-</w:t>
    </w:r>
    <w:r w:rsidR="005D490F">
      <w:t>2</w:t>
    </w:r>
    <w:r>
      <w:t>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024DE" w14:textId="77777777" w:rsidR="0017148F" w:rsidRDefault="0017148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7325AA"/>
    <w:multiLevelType w:val="multilevel"/>
    <w:tmpl w:val="5FF848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84646E6"/>
    <w:multiLevelType w:val="multilevel"/>
    <w:tmpl w:val="4530B5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50136B4"/>
    <w:multiLevelType w:val="multilevel"/>
    <w:tmpl w:val="A8E271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602"/>
    <w:rsid w:val="00026AB4"/>
    <w:rsid w:val="0017148F"/>
    <w:rsid w:val="005D490F"/>
    <w:rsid w:val="00D2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52879"/>
  <w15:docId w15:val="{FDF9F5DA-2487-4B3D-AAB5-69548FFA2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17148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48F"/>
  </w:style>
  <w:style w:type="paragraph" w:styleId="Footer">
    <w:name w:val="footer"/>
    <w:basedOn w:val="Normal"/>
    <w:link w:val="FooterChar"/>
    <w:uiPriority w:val="99"/>
    <w:unhideWhenUsed/>
    <w:rsid w:val="0017148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4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62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6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0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15.png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" Type="http://schemas.openxmlformats.org/officeDocument/2006/relationships/footnotes" Target="footnotes.xml"/><Relationship Id="rId19" Type="http://schemas.openxmlformats.org/officeDocument/2006/relationships/image" Target="media/image310.png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spreadsheets/d/19XJxxmeJ-1HLVbzBg6op6M09EsaCOovilGJysUfXxZU/edit?usp=sharing" TargetMode="External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11.png"/><Relationship Id="rId25" Type="http://schemas.openxmlformats.org/officeDocument/2006/relationships/image" Target="media/image10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0" Type="http://schemas.openxmlformats.org/officeDocument/2006/relationships/image" Target="media/image5.png"/><Relationship Id="rId41" Type="http://schemas.openxmlformats.org/officeDocument/2006/relationships/image" Target="media/image27.png"/><Relationship Id="rId54" Type="http://schemas.openxmlformats.org/officeDocument/2006/relationships/hyperlink" Target="https://ibkr.info/node/470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theme" Target="theme/theme1.xml"/><Relationship Id="rId10" Type="http://schemas.openxmlformats.org/officeDocument/2006/relationships/header" Target="header1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42</Pages>
  <Words>4896</Words>
  <Characters>27910</Characters>
  <Application>Microsoft Office Word</Application>
  <DocSecurity>0</DocSecurity>
  <Lines>232</Lines>
  <Paragraphs>65</Paragraphs>
  <ScaleCrop>false</ScaleCrop>
  <Company/>
  <LinksUpToDate>false</LinksUpToDate>
  <CharactersWithSpaces>32741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George Dr.</cp:lastModifiedBy>
  <cp:revision>3</cp:revision>
  <dcterms:created xsi:type="dcterms:W3CDTF">2024-02-26T21:43:00Z</dcterms:created>
  <dcterms:modified xsi:type="dcterms:W3CDTF">2024-02-26T21:44:00Z</dcterms:modified>
</cp:coreProperties>
</file>