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B3" w:rsidRDefault="009532B3" w:rsidP="009532B3">
      <w:pPr>
        <w:pStyle w:val="Heading1"/>
        <w:jc w:val="center"/>
        <w:rPr>
          <w:sz w:val="40"/>
          <w:szCs w:val="40"/>
          <w:lang w:val="en-GB"/>
        </w:rPr>
      </w:pPr>
      <w:r w:rsidRPr="009532B3">
        <w:rPr>
          <w:sz w:val="40"/>
          <w:szCs w:val="40"/>
          <w:lang w:val="en-GB"/>
        </w:rPr>
        <w:t xml:space="preserve">The </w:t>
      </w:r>
      <w:r w:rsidR="00726A8B">
        <w:rPr>
          <w:sz w:val="40"/>
          <w:szCs w:val="40"/>
          <w:lang w:val="en-GB"/>
        </w:rPr>
        <w:t xml:space="preserve">Smart </w:t>
      </w:r>
      <w:r w:rsidRPr="009532B3">
        <w:rPr>
          <w:sz w:val="40"/>
          <w:szCs w:val="40"/>
          <w:lang w:val="en-GB"/>
        </w:rPr>
        <w:t>Zoomable Widget</w:t>
      </w:r>
      <w:r w:rsidR="00B11313">
        <w:rPr>
          <w:rStyle w:val="FootnoteReference"/>
          <w:sz w:val="40"/>
          <w:szCs w:val="40"/>
          <w:lang w:val="en-GB"/>
        </w:rPr>
        <w:footnoteReference w:id="2"/>
      </w:r>
      <w:r w:rsidRPr="009532B3">
        <w:rPr>
          <w:sz w:val="40"/>
          <w:szCs w:val="40"/>
          <w:lang w:val="en-GB"/>
        </w:rPr>
        <w:t xml:space="preserve"> concept</w:t>
      </w:r>
    </w:p>
    <w:p w:rsidR="0006275C" w:rsidRPr="009532B3" w:rsidRDefault="0006275C" w:rsidP="009532B3">
      <w:pPr>
        <w:pStyle w:val="Heading1"/>
        <w:jc w:val="center"/>
        <w:rPr>
          <w:sz w:val="40"/>
          <w:szCs w:val="40"/>
          <w:lang w:val="en-GB"/>
        </w:rPr>
      </w:pPr>
      <w:r>
        <w:rPr>
          <w:sz w:val="40"/>
          <w:szCs w:val="40"/>
          <w:lang w:val="en-GB"/>
        </w:rPr>
        <w:t>(The Fall</w:t>
      </w:r>
      <w:r w:rsidR="00784400">
        <w:rPr>
          <w:sz w:val="40"/>
          <w:szCs w:val="40"/>
          <w:lang w:val="en-GB"/>
        </w:rPr>
        <w:t>acy</w:t>
      </w:r>
      <w:r>
        <w:rPr>
          <w:sz w:val="40"/>
          <w:szCs w:val="40"/>
          <w:lang w:val="en-GB"/>
        </w:rPr>
        <w:t xml:space="preserve"> of the LOD)</w:t>
      </w:r>
    </w:p>
    <w:p w:rsidR="009532B3" w:rsidRDefault="009532B3" w:rsidP="009532B3">
      <w:pPr>
        <w:pStyle w:val="Heading2"/>
        <w:rPr>
          <w:lang w:val="en-GB"/>
        </w:rPr>
      </w:pPr>
    </w:p>
    <w:p w:rsidR="009532B3" w:rsidRPr="00E628C1" w:rsidRDefault="0017697D" w:rsidP="009532B3">
      <w:pPr>
        <w:pStyle w:val="Heading2"/>
        <w:rPr>
          <w:lang w:val="en-GB"/>
        </w:rPr>
      </w:pPr>
      <w:r w:rsidRPr="0017697D">
        <w:rPr>
          <w:noProof/>
          <w:szCs w:val="24"/>
          <w:lang w:val="en-GB" w:eastAsia="en-GB"/>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1" type="#_x0000_t186" style="position:absolute;margin-left:365.6pt;margin-top:148.1pt;width:133.45pt;height:220.5pt;rotation:90;z-index:251667456;mso-position-horizontal-relative:margin;mso-position-vertical-relative:page;mso-width-relative:margin;mso-height-relative:margin;v-text-anchor:middle" o:allowincell="f" filled="t" fillcolor="#1f497d [3215]" stroked="f" strokecolor="#5c83b4" strokeweight=".25pt">
            <v:shadow on="t" opacity=".5" offset="6pt,-6pt"/>
            <v:textbox style="mso-next-textbox:#_x0000_s1031">
              <w:txbxContent>
                <w:p w:rsidR="009532B3" w:rsidRDefault="009532B3" w:rsidP="009532B3">
                  <w:pPr>
                    <w:spacing w:after="0" w:line="288" w:lineRule="auto"/>
                    <w:jc w:val="center"/>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color w:val="D3DFEE" w:themeColor="accent1" w:themeTint="3F"/>
                      <w:sz w:val="28"/>
                      <w:szCs w:val="28"/>
                    </w:rPr>
                    <w:t xml:space="preserve">Zoomable User Interface (ZUI): The graphical user interface (GUI) is based on a </w:t>
                  </w:r>
                  <w:r w:rsidRPr="0027152F">
                    <w:rPr>
                      <w:rFonts w:asciiTheme="majorHAnsi" w:eastAsiaTheme="majorEastAsia" w:hAnsiTheme="majorHAnsi" w:cstheme="majorBidi"/>
                      <w:i/>
                      <w:iCs/>
                      <w:color w:val="D3DFEE" w:themeColor="accent1" w:themeTint="3F"/>
                      <w:sz w:val="28"/>
                      <w:szCs w:val="28"/>
                    </w:rPr>
                    <w:t>graphical environment where users can change the scale of the viewed area in to see more</w:t>
                  </w:r>
                  <w:r>
                    <w:rPr>
                      <w:rFonts w:asciiTheme="majorHAnsi" w:eastAsiaTheme="majorEastAsia" w:hAnsiTheme="majorHAnsi" w:cstheme="majorBidi"/>
                      <w:i/>
                      <w:iCs/>
                      <w:color w:val="D3DFEE" w:themeColor="accent1" w:themeTint="3F"/>
                      <w:sz w:val="28"/>
                      <w:szCs w:val="28"/>
                    </w:rPr>
                    <w:t>.</w:t>
                  </w:r>
                  <w:r w:rsidRPr="0027152F">
                    <w:rPr>
                      <w:rFonts w:asciiTheme="majorHAnsi" w:eastAsiaTheme="majorEastAsia" w:hAnsiTheme="majorHAnsi" w:cstheme="majorBidi"/>
                      <w:i/>
                      <w:iCs/>
                      <w:color w:val="D3DFEE" w:themeColor="accent1" w:themeTint="3F"/>
                      <w:sz w:val="28"/>
                      <w:szCs w:val="28"/>
                    </w:rPr>
                    <w:t xml:space="preserve"> detail or less</w:t>
                  </w:r>
                </w:p>
              </w:txbxContent>
            </v:textbox>
            <w10:wrap type="square" anchorx="margin" anchory="page"/>
          </v:shape>
        </w:pict>
      </w:r>
      <w:r w:rsidR="009532B3">
        <w:rPr>
          <w:lang w:val="en-GB"/>
        </w:rPr>
        <w:t>Why the current ZUI cannot cope with everything?</w:t>
      </w:r>
    </w:p>
    <w:p w:rsidR="00795E2E" w:rsidRPr="00E628C1" w:rsidRDefault="00795E2E" w:rsidP="00066EE9">
      <w:pPr>
        <w:rPr>
          <w:szCs w:val="24"/>
          <w:lang w:val="en-GB"/>
        </w:rPr>
      </w:pPr>
    </w:p>
    <w:p w:rsidR="00066EE9" w:rsidRDefault="00CF2358" w:rsidP="00066EE9">
      <w:pPr>
        <w:rPr>
          <w:szCs w:val="24"/>
          <w:lang w:val="en-GB"/>
        </w:rPr>
      </w:pPr>
      <w:r>
        <w:rPr>
          <w:szCs w:val="24"/>
          <w:lang w:val="en-GB"/>
        </w:rPr>
        <w:t>The current mouse zoom features operates in the following steps.</w:t>
      </w:r>
    </w:p>
    <w:p w:rsidR="00CF2358" w:rsidRDefault="00CF2358" w:rsidP="00CF2358">
      <w:pPr>
        <w:pStyle w:val="ListParagraph"/>
        <w:numPr>
          <w:ilvl w:val="0"/>
          <w:numId w:val="8"/>
        </w:numPr>
        <w:rPr>
          <w:szCs w:val="24"/>
          <w:lang w:val="en-GB"/>
        </w:rPr>
      </w:pPr>
      <w:r>
        <w:rPr>
          <w:szCs w:val="24"/>
          <w:lang w:val="en-GB"/>
        </w:rPr>
        <w:t>When the mouse is scrolled</w:t>
      </w:r>
      <w:r w:rsidR="0019321E">
        <w:rPr>
          <w:szCs w:val="24"/>
          <w:lang w:val="en-GB"/>
        </w:rPr>
        <w:t xml:space="preserve"> by the user,</w:t>
      </w:r>
      <w:r>
        <w:rPr>
          <w:szCs w:val="24"/>
          <w:lang w:val="en-GB"/>
        </w:rPr>
        <w:t xml:space="preserve"> </w:t>
      </w:r>
      <w:r w:rsidR="0019321E">
        <w:rPr>
          <w:szCs w:val="24"/>
          <w:lang w:val="en-GB"/>
        </w:rPr>
        <w:t>the program</w:t>
      </w:r>
      <w:r w:rsidR="0006275C">
        <w:rPr>
          <w:szCs w:val="24"/>
          <w:lang w:val="en-GB"/>
        </w:rPr>
        <w:t xml:space="preserve"> magnifies or minifies</w:t>
      </w:r>
      <w:r>
        <w:rPr>
          <w:szCs w:val="24"/>
          <w:lang w:val="en-GB"/>
        </w:rPr>
        <w:t xml:space="preserve"> the canvas </w:t>
      </w:r>
      <w:r w:rsidR="0019321E">
        <w:rPr>
          <w:szCs w:val="24"/>
          <w:lang w:val="en-GB"/>
        </w:rPr>
        <w:t>“</w:t>
      </w:r>
      <w:r>
        <w:rPr>
          <w:szCs w:val="24"/>
          <w:lang w:val="en-GB"/>
        </w:rPr>
        <w:t>Uniformly</w:t>
      </w:r>
      <w:r w:rsidR="0019321E">
        <w:rPr>
          <w:szCs w:val="24"/>
          <w:lang w:val="en-GB"/>
        </w:rPr>
        <w:t>”</w:t>
      </w:r>
      <w:r>
        <w:rPr>
          <w:szCs w:val="24"/>
          <w:lang w:val="en-GB"/>
        </w:rPr>
        <w:t>.</w:t>
      </w:r>
    </w:p>
    <w:p w:rsidR="00CF2358" w:rsidRDefault="00CF2358" w:rsidP="00CF2358">
      <w:pPr>
        <w:pStyle w:val="ListParagraph"/>
        <w:numPr>
          <w:ilvl w:val="0"/>
          <w:numId w:val="8"/>
        </w:numPr>
        <w:rPr>
          <w:szCs w:val="24"/>
          <w:lang w:val="en-GB"/>
        </w:rPr>
      </w:pPr>
      <w:r>
        <w:rPr>
          <w:szCs w:val="24"/>
          <w:lang w:val="en-GB"/>
        </w:rPr>
        <w:t>When a special magnification is achieved, a LOD</w:t>
      </w:r>
      <w:r w:rsidR="00DB2CEF">
        <w:rPr>
          <w:szCs w:val="24"/>
          <w:lang w:val="en-GB"/>
        </w:rPr>
        <w:t xml:space="preserve"> (</w:t>
      </w:r>
      <w:r w:rsidR="00DB2CEF" w:rsidRPr="00A72C47">
        <w:rPr>
          <w:i/>
          <w:szCs w:val="24"/>
          <w:lang w:val="en-GB"/>
        </w:rPr>
        <w:t>Level of Detail</w:t>
      </w:r>
      <w:r w:rsidR="00DB2CEF">
        <w:rPr>
          <w:szCs w:val="24"/>
          <w:lang w:val="en-GB"/>
        </w:rPr>
        <w:t>)</w:t>
      </w:r>
      <w:r>
        <w:rPr>
          <w:szCs w:val="24"/>
          <w:lang w:val="en-GB"/>
        </w:rPr>
        <w:t xml:space="preserve"> change kicks in that abruptly changes the current area to a more detailed one.</w:t>
      </w:r>
    </w:p>
    <w:p w:rsidR="00CF2358" w:rsidRDefault="00CF2358" w:rsidP="00CF2358">
      <w:pPr>
        <w:pStyle w:val="ListParagraph"/>
        <w:numPr>
          <w:ilvl w:val="0"/>
          <w:numId w:val="8"/>
        </w:numPr>
        <w:rPr>
          <w:szCs w:val="24"/>
          <w:lang w:val="en-GB"/>
        </w:rPr>
      </w:pPr>
      <w:r>
        <w:rPr>
          <w:szCs w:val="24"/>
          <w:lang w:val="en-GB"/>
        </w:rPr>
        <w:t>Go to step 1.</w:t>
      </w:r>
    </w:p>
    <w:p w:rsidR="00CF2358" w:rsidRDefault="00CF2358" w:rsidP="00CF2358">
      <w:pPr>
        <w:rPr>
          <w:szCs w:val="24"/>
          <w:lang w:val="en-GB"/>
        </w:rPr>
      </w:pPr>
    </w:p>
    <w:p w:rsidR="00CF2358" w:rsidRDefault="00CF2358" w:rsidP="00CF2358">
      <w:pPr>
        <w:rPr>
          <w:szCs w:val="24"/>
          <w:lang w:val="en-GB"/>
        </w:rPr>
      </w:pPr>
    </w:p>
    <w:p w:rsidR="00CF2358" w:rsidRDefault="00CF2358" w:rsidP="00CF2358">
      <w:pPr>
        <w:rPr>
          <w:szCs w:val="24"/>
          <w:lang w:val="hu-HU"/>
        </w:rPr>
      </w:pPr>
      <w:r>
        <w:rPr>
          <w:szCs w:val="24"/>
          <w:lang w:val="en-GB"/>
        </w:rPr>
        <w:t>Let’s have an example of visualizing the Nasda</w:t>
      </w:r>
      <w:r>
        <w:rPr>
          <w:szCs w:val="24"/>
          <w:lang w:val="hu-HU"/>
        </w:rPr>
        <w:t>q market index data.</w:t>
      </w:r>
    </w:p>
    <w:p w:rsidR="00CC65D8" w:rsidRDefault="00CC65D8" w:rsidP="00CF2358">
      <w:pPr>
        <w:rPr>
          <w:szCs w:val="24"/>
          <w:lang w:val="hu-HU"/>
        </w:rPr>
      </w:pPr>
    </w:p>
    <w:p w:rsidR="00CC65D8" w:rsidRDefault="002568A1" w:rsidP="00CC65D8">
      <w:pPr>
        <w:pStyle w:val="Heading2"/>
        <w:rPr>
          <w:lang w:val="hu-HU"/>
        </w:rPr>
      </w:pPr>
      <w:r>
        <w:rPr>
          <w:lang w:val="hu-HU"/>
        </w:rPr>
        <w:t xml:space="preserve">Zooming </w:t>
      </w:r>
      <w:r w:rsidR="00CC65D8">
        <w:rPr>
          <w:lang w:val="hu-HU"/>
        </w:rPr>
        <w:t>Method 1.</w:t>
      </w:r>
    </w:p>
    <w:p w:rsidR="00CF2358" w:rsidRDefault="0017697D" w:rsidP="00CF2358">
      <w:pPr>
        <w:rPr>
          <w:szCs w:val="24"/>
          <w:lang w:val="hu-HU"/>
        </w:rPr>
      </w:pPr>
      <w:r>
        <w:rPr>
          <w:noProof/>
          <w:szCs w:val="24"/>
          <w:lang w:val="en-GB" w:eastAsia="en-GB"/>
        </w:rPr>
        <w:pict>
          <v:shapetype id="_x0000_t202" coordsize="21600,21600" o:spt="202" path="m,l,21600r21600,l21600,xe">
            <v:stroke joinstyle="miter"/>
            <v:path gradientshapeok="t" o:connecttype="rect"/>
          </v:shapetype>
          <v:shape id="_x0000_s1032" type="#_x0000_t202" style="position:absolute;margin-left:37.2pt;margin-top:2.7pt;width:88.5pt;height:20.75pt;z-index:251668480">
            <v:textbox>
              <w:txbxContent>
                <w:p w:rsidR="00020216" w:rsidRPr="00CC65D8" w:rsidRDefault="00020216">
                  <w:pPr>
                    <w:rPr>
                      <w:sz w:val="16"/>
                      <w:szCs w:val="16"/>
                      <w:lang w:val="en-GB"/>
                    </w:rPr>
                  </w:pPr>
                  <w:r w:rsidRPr="00CC65D8">
                    <w:rPr>
                      <w:color w:val="0070C0"/>
                      <w:sz w:val="16"/>
                      <w:szCs w:val="16"/>
                      <w:lang w:val="en-GB"/>
                    </w:rPr>
                    <w:t>Nasdaq</w:t>
                  </w:r>
                  <w:r w:rsidRPr="00CC65D8">
                    <w:rPr>
                      <w:color w:val="00B0F0"/>
                      <w:sz w:val="16"/>
                      <w:szCs w:val="16"/>
                      <w:lang w:val="en-GB"/>
                    </w:rPr>
                    <w:t xml:space="preserve"> </w:t>
                  </w:r>
                  <w:r w:rsidRPr="00CC65D8">
                    <w:rPr>
                      <w:sz w:val="16"/>
                      <w:szCs w:val="16"/>
                      <w:lang w:val="en-GB"/>
                    </w:rPr>
                    <w:t xml:space="preserve">   </w:t>
                  </w:r>
                  <w:r w:rsidRPr="00CC65D8">
                    <w:rPr>
                      <w:color w:val="00B050"/>
                      <w:sz w:val="16"/>
                      <w:szCs w:val="16"/>
                      <w:lang w:val="en-GB"/>
                    </w:rPr>
                    <w:t>(+1.56%)</w:t>
                  </w:r>
                </w:p>
              </w:txbxContent>
            </v:textbox>
          </v:shape>
        </w:pict>
      </w:r>
    </w:p>
    <w:p w:rsidR="00020216" w:rsidRDefault="00020216" w:rsidP="00CF2358">
      <w:pPr>
        <w:rPr>
          <w:szCs w:val="24"/>
          <w:lang w:val="hu-HU"/>
        </w:rPr>
      </w:pPr>
    </w:p>
    <w:p w:rsidR="00CC65D8" w:rsidRDefault="0017697D" w:rsidP="00CF2358">
      <w:pPr>
        <w:rPr>
          <w:szCs w:val="24"/>
          <w:lang w:val="hu-HU"/>
        </w:rPr>
      </w:pPr>
      <w:r>
        <w:rPr>
          <w:noProof/>
          <w:szCs w:val="24"/>
          <w:lang w:val="en-GB" w:eastAsia="en-GB"/>
        </w:rPr>
        <w:pict>
          <v:shape id="_x0000_s1033" type="#_x0000_t202" style="position:absolute;margin-left:30.3pt;margin-top:18.3pt;width:277.25pt;height:43.3pt;z-index:251669504">
            <v:textbox>
              <w:txbxContent>
                <w:p w:rsidR="00CC65D8" w:rsidRPr="00CC65D8" w:rsidRDefault="00CC65D8" w:rsidP="00CC65D8">
                  <w:pPr>
                    <w:rPr>
                      <w:sz w:val="56"/>
                      <w:szCs w:val="56"/>
                      <w:lang w:val="en-GB"/>
                    </w:rPr>
                  </w:pPr>
                  <w:r w:rsidRPr="00CC65D8">
                    <w:rPr>
                      <w:color w:val="0070C0"/>
                      <w:sz w:val="56"/>
                      <w:szCs w:val="56"/>
                      <w:lang w:val="en-GB"/>
                    </w:rPr>
                    <w:t>Nasdaq</w:t>
                  </w:r>
                  <w:r w:rsidRPr="00CC65D8">
                    <w:rPr>
                      <w:color w:val="00B0F0"/>
                      <w:sz w:val="56"/>
                      <w:szCs w:val="56"/>
                      <w:lang w:val="en-GB"/>
                    </w:rPr>
                    <w:t xml:space="preserve"> </w:t>
                  </w:r>
                  <w:r w:rsidRPr="00CC65D8">
                    <w:rPr>
                      <w:sz w:val="56"/>
                      <w:szCs w:val="56"/>
                      <w:lang w:val="en-GB"/>
                    </w:rPr>
                    <w:t xml:space="preserve">   </w:t>
                  </w:r>
                  <w:r w:rsidRPr="00CC65D8">
                    <w:rPr>
                      <w:color w:val="00B050"/>
                      <w:sz w:val="56"/>
                      <w:szCs w:val="56"/>
                      <w:lang w:val="en-GB"/>
                    </w:rPr>
                    <w:t>(+1.56%)</w:t>
                  </w:r>
                </w:p>
              </w:txbxContent>
            </v:textbox>
          </v:shape>
        </w:pict>
      </w:r>
      <w:r w:rsidR="002568A1">
        <w:rPr>
          <w:szCs w:val="24"/>
          <w:lang w:val="hu-HU"/>
        </w:rPr>
        <w:t>If it is magnif</w:t>
      </w:r>
      <w:r w:rsidR="00763392">
        <w:rPr>
          <w:szCs w:val="24"/>
          <w:lang w:val="hu-HU"/>
        </w:rPr>
        <w:t>ied</w:t>
      </w:r>
      <w:r w:rsidR="00CC65D8">
        <w:rPr>
          <w:szCs w:val="24"/>
          <w:lang w:val="hu-HU"/>
        </w:rPr>
        <w:t xml:space="preserve"> </w:t>
      </w:r>
      <w:r w:rsidR="00763392">
        <w:rPr>
          <w:szCs w:val="24"/>
          <w:lang w:val="hu-HU"/>
        </w:rPr>
        <w:t>only (</w:t>
      </w:r>
      <w:r w:rsidR="00CC65D8">
        <w:rPr>
          <w:szCs w:val="24"/>
          <w:lang w:val="hu-HU"/>
        </w:rPr>
        <w:t xml:space="preserve">without </w:t>
      </w:r>
      <w:r w:rsidR="00763392">
        <w:rPr>
          <w:szCs w:val="24"/>
          <w:lang w:val="hu-HU"/>
        </w:rPr>
        <w:t xml:space="preserve">any </w:t>
      </w:r>
      <w:r w:rsidR="00CC65D8">
        <w:rPr>
          <w:szCs w:val="24"/>
          <w:lang w:val="hu-HU"/>
        </w:rPr>
        <w:t>LOD</w:t>
      </w:r>
      <w:r w:rsidR="00763392">
        <w:rPr>
          <w:szCs w:val="24"/>
          <w:lang w:val="hu-HU"/>
        </w:rPr>
        <w:t>)</w:t>
      </w:r>
      <w:r w:rsidR="00CC65D8">
        <w:rPr>
          <w:szCs w:val="24"/>
          <w:lang w:val="hu-HU"/>
        </w:rPr>
        <w:t>, with magnification = 3x, we got:</w:t>
      </w:r>
    </w:p>
    <w:p w:rsidR="00CC65D8" w:rsidRDefault="00CC65D8" w:rsidP="00CF2358">
      <w:pPr>
        <w:rPr>
          <w:szCs w:val="24"/>
          <w:lang w:val="hu-HU"/>
        </w:rPr>
      </w:pPr>
    </w:p>
    <w:p w:rsidR="00CC65D8" w:rsidRDefault="00CC65D8" w:rsidP="00CF2358">
      <w:pPr>
        <w:rPr>
          <w:szCs w:val="24"/>
          <w:lang w:val="hu-HU"/>
        </w:rPr>
      </w:pPr>
    </w:p>
    <w:p w:rsidR="00CC65D8" w:rsidRPr="00763392" w:rsidRDefault="00763392" w:rsidP="00763392">
      <w:pPr>
        <w:rPr>
          <w:rFonts w:asciiTheme="majorHAnsi" w:eastAsiaTheme="majorEastAsia" w:hAnsiTheme="majorHAnsi" w:cstheme="majorBidi"/>
          <w:b/>
          <w:bCs/>
          <w:color w:val="4F81BD" w:themeColor="accent1"/>
          <w:sz w:val="28"/>
          <w:szCs w:val="26"/>
          <w:lang w:val="hu-HU"/>
        </w:rPr>
      </w:pPr>
      <w:r>
        <w:rPr>
          <w:lang w:val="hu-HU"/>
        </w:rPr>
        <w:br w:type="page"/>
      </w:r>
    </w:p>
    <w:p w:rsidR="00CC65D8" w:rsidRDefault="002568A1" w:rsidP="00CC65D8">
      <w:pPr>
        <w:pStyle w:val="Heading2"/>
        <w:rPr>
          <w:lang w:val="hu-HU"/>
        </w:rPr>
      </w:pPr>
      <w:r>
        <w:rPr>
          <w:lang w:val="hu-HU"/>
        </w:rPr>
        <w:lastRenderedPageBreak/>
        <w:t xml:space="preserve">Zooming </w:t>
      </w:r>
      <w:r w:rsidR="00CC65D8">
        <w:rPr>
          <w:lang w:val="hu-HU"/>
        </w:rPr>
        <w:t>Method 2.</w:t>
      </w:r>
    </w:p>
    <w:p w:rsidR="00CF2358" w:rsidRDefault="002568A1" w:rsidP="00CF2358">
      <w:pPr>
        <w:rPr>
          <w:szCs w:val="24"/>
          <w:lang w:val="en-GB"/>
        </w:rPr>
      </w:pPr>
      <w:r>
        <w:rPr>
          <w:szCs w:val="24"/>
          <w:lang w:val="en-GB"/>
        </w:rPr>
        <w:t xml:space="preserve">We realize that the main point of ZUI is not </w:t>
      </w:r>
      <w:r w:rsidR="00763392">
        <w:rPr>
          <w:szCs w:val="24"/>
          <w:lang w:val="en-GB"/>
        </w:rPr>
        <w:t>magnifying</w:t>
      </w:r>
      <w:r>
        <w:rPr>
          <w:szCs w:val="24"/>
          <w:lang w:val="en-GB"/>
        </w:rPr>
        <w:t xml:space="preserve"> the letters to </w:t>
      </w:r>
      <w:r w:rsidR="00763392">
        <w:rPr>
          <w:szCs w:val="24"/>
          <w:lang w:val="en-GB"/>
        </w:rPr>
        <w:t>incredible huge</w:t>
      </w:r>
      <w:r w:rsidR="005477F2">
        <w:rPr>
          <w:szCs w:val="24"/>
          <w:lang w:val="en-GB"/>
        </w:rPr>
        <w:t>, illegible</w:t>
      </w:r>
      <w:r w:rsidR="00763392">
        <w:rPr>
          <w:szCs w:val="24"/>
          <w:lang w:val="en-GB"/>
        </w:rPr>
        <w:t xml:space="preserve"> size</w:t>
      </w:r>
      <w:r>
        <w:rPr>
          <w:szCs w:val="24"/>
          <w:lang w:val="en-GB"/>
        </w:rPr>
        <w:t>, but the main point is to insert as much data into the available space as possible.</w:t>
      </w:r>
      <w:r w:rsidR="00763392">
        <w:rPr>
          <w:szCs w:val="24"/>
          <w:lang w:val="en-GB"/>
        </w:rPr>
        <w:t xml:space="preserve"> </w:t>
      </w:r>
      <w:r w:rsidR="00351E83">
        <w:rPr>
          <w:szCs w:val="24"/>
          <w:lang w:val="en-GB"/>
        </w:rPr>
        <w:t>Let’s take an example, whe</w:t>
      </w:r>
      <w:r w:rsidR="00DB2CEF">
        <w:rPr>
          <w:szCs w:val="24"/>
          <w:lang w:val="en-GB"/>
        </w:rPr>
        <w:t>n</w:t>
      </w:r>
      <w:r w:rsidR="00351E83">
        <w:rPr>
          <w:szCs w:val="24"/>
          <w:lang w:val="en-GB"/>
        </w:rPr>
        <w:t xml:space="preserve"> we want to show </w:t>
      </w:r>
      <w:r w:rsidR="00763392">
        <w:rPr>
          <w:szCs w:val="24"/>
          <w:lang w:val="en-GB"/>
        </w:rPr>
        <w:t>one further detail</w:t>
      </w:r>
      <w:r w:rsidR="00351E83">
        <w:rPr>
          <w:szCs w:val="24"/>
          <w:lang w:val="en-GB"/>
        </w:rPr>
        <w:t>, the</w:t>
      </w:r>
      <w:r w:rsidR="00763392">
        <w:rPr>
          <w:szCs w:val="24"/>
          <w:lang w:val="en-GB"/>
        </w:rPr>
        <w:t xml:space="preserve"> actual value of the Nasdaq composite. So, we realize that a LOD</w:t>
      </w:r>
      <w:r w:rsidR="00621BAE">
        <w:rPr>
          <w:szCs w:val="24"/>
          <w:lang w:val="en-GB"/>
        </w:rPr>
        <w:t xml:space="preserve"> change</w:t>
      </w:r>
      <w:r w:rsidR="00763392">
        <w:rPr>
          <w:szCs w:val="24"/>
          <w:lang w:val="en-GB"/>
        </w:rPr>
        <w:t xml:space="preserve"> is needed.</w:t>
      </w:r>
    </w:p>
    <w:p w:rsidR="00763392" w:rsidRDefault="0017697D" w:rsidP="00CF2358">
      <w:pPr>
        <w:rPr>
          <w:szCs w:val="24"/>
          <w:lang w:val="en-GB"/>
        </w:rPr>
      </w:pPr>
      <w:r>
        <w:rPr>
          <w:noProof/>
          <w:szCs w:val="24"/>
          <w:lang w:val="en-GB" w:eastAsia="en-GB"/>
        </w:rPr>
        <w:pict>
          <v:shape id="_x0000_s1034" type="#_x0000_t202" style="position:absolute;margin-left:15.65pt;margin-top:21.8pt;width:88.5pt;height:20.75pt;z-index:251670528">
            <v:textbox>
              <w:txbxContent>
                <w:p w:rsidR="00763392" w:rsidRPr="00CC65D8" w:rsidRDefault="00763392" w:rsidP="00763392">
                  <w:pPr>
                    <w:rPr>
                      <w:sz w:val="16"/>
                      <w:szCs w:val="16"/>
                      <w:lang w:val="en-GB"/>
                    </w:rPr>
                  </w:pPr>
                  <w:r w:rsidRPr="00CC65D8">
                    <w:rPr>
                      <w:color w:val="0070C0"/>
                      <w:sz w:val="16"/>
                      <w:szCs w:val="16"/>
                      <w:lang w:val="en-GB"/>
                    </w:rPr>
                    <w:t>Nasdaq</w:t>
                  </w:r>
                  <w:r w:rsidRPr="00CC65D8">
                    <w:rPr>
                      <w:color w:val="00B0F0"/>
                      <w:sz w:val="16"/>
                      <w:szCs w:val="16"/>
                      <w:lang w:val="en-GB"/>
                    </w:rPr>
                    <w:t xml:space="preserve"> </w:t>
                  </w:r>
                  <w:r w:rsidRPr="00CC65D8">
                    <w:rPr>
                      <w:sz w:val="16"/>
                      <w:szCs w:val="16"/>
                      <w:lang w:val="en-GB"/>
                    </w:rPr>
                    <w:t xml:space="preserve">   </w:t>
                  </w:r>
                  <w:r w:rsidRPr="00CC65D8">
                    <w:rPr>
                      <w:color w:val="00B050"/>
                      <w:sz w:val="16"/>
                      <w:szCs w:val="16"/>
                      <w:lang w:val="en-GB"/>
                    </w:rPr>
                    <w:t>(+1.56%)</w:t>
                  </w:r>
                </w:p>
              </w:txbxContent>
            </v:textbox>
          </v:shape>
        </w:pict>
      </w:r>
      <w:r w:rsidR="00763392">
        <w:rPr>
          <w:szCs w:val="24"/>
          <w:lang w:val="en-GB"/>
        </w:rPr>
        <w:t>Original:</w:t>
      </w:r>
    </w:p>
    <w:p w:rsidR="00763392" w:rsidRDefault="00763392" w:rsidP="00CF2358">
      <w:pPr>
        <w:rPr>
          <w:szCs w:val="24"/>
          <w:lang w:val="en-GB"/>
        </w:rPr>
      </w:pPr>
    </w:p>
    <w:p w:rsidR="00763392" w:rsidRDefault="00763392" w:rsidP="00CF2358">
      <w:pPr>
        <w:rPr>
          <w:szCs w:val="24"/>
          <w:lang w:val="en-GB"/>
        </w:rPr>
      </w:pPr>
      <w:r>
        <w:rPr>
          <w:szCs w:val="24"/>
          <w:lang w:val="en-GB"/>
        </w:rPr>
        <w:t>Magnification = 2x</w:t>
      </w:r>
    </w:p>
    <w:p w:rsidR="00763392" w:rsidRDefault="0017697D" w:rsidP="00CF2358">
      <w:pPr>
        <w:rPr>
          <w:szCs w:val="24"/>
          <w:lang w:val="en-GB"/>
        </w:rPr>
      </w:pPr>
      <w:r>
        <w:rPr>
          <w:noProof/>
          <w:szCs w:val="24"/>
          <w:lang w:val="en-GB" w:eastAsia="en-GB"/>
        </w:rPr>
        <w:pict>
          <v:shape id="_x0000_s1035" type="#_x0000_t202" style="position:absolute;margin-left:8.15pt;margin-top:3.85pt;width:174.9pt;height:31.7pt;z-index:251671552">
            <v:textbox>
              <w:txbxContent>
                <w:p w:rsidR="00763392" w:rsidRPr="00763392" w:rsidRDefault="00763392" w:rsidP="00763392">
                  <w:pPr>
                    <w:rPr>
                      <w:sz w:val="36"/>
                      <w:szCs w:val="36"/>
                      <w:lang w:val="en-GB"/>
                    </w:rPr>
                  </w:pPr>
                  <w:r w:rsidRPr="00763392">
                    <w:rPr>
                      <w:color w:val="0070C0"/>
                      <w:sz w:val="36"/>
                      <w:szCs w:val="36"/>
                      <w:lang w:val="en-GB"/>
                    </w:rPr>
                    <w:t>Nasdaq</w:t>
                  </w:r>
                  <w:r w:rsidRPr="00763392">
                    <w:rPr>
                      <w:color w:val="00B0F0"/>
                      <w:sz w:val="36"/>
                      <w:szCs w:val="36"/>
                      <w:lang w:val="en-GB"/>
                    </w:rPr>
                    <w:t xml:space="preserve"> </w:t>
                  </w:r>
                  <w:r w:rsidRPr="00763392">
                    <w:rPr>
                      <w:sz w:val="36"/>
                      <w:szCs w:val="36"/>
                      <w:lang w:val="en-GB"/>
                    </w:rPr>
                    <w:t xml:space="preserve">   </w:t>
                  </w:r>
                  <w:r w:rsidRPr="00763392">
                    <w:rPr>
                      <w:color w:val="00B050"/>
                      <w:sz w:val="36"/>
                      <w:szCs w:val="36"/>
                      <w:lang w:val="en-GB"/>
                    </w:rPr>
                    <w:t>(+1.56%)</w:t>
                  </w:r>
                </w:p>
              </w:txbxContent>
            </v:textbox>
          </v:shape>
        </w:pict>
      </w:r>
    </w:p>
    <w:p w:rsidR="00763392" w:rsidRDefault="00763392" w:rsidP="00CF2358">
      <w:pPr>
        <w:rPr>
          <w:szCs w:val="24"/>
          <w:lang w:val="en-GB"/>
        </w:rPr>
      </w:pPr>
    </w:p>
    <w:p w:rsidR="00763392" w:rsidRDefault="0017697D" w:rsidP="00CF2358">
      <w:pPr>
        <w:rPr>
          <w:szCs w:val="24"/>
          <w:lang w:val="en-GB"/>
        </w:rPr>
      </w:pPr>
      <w:r>
        <w:rPr>
          <w:noProof/>
          <w:szCs w:val="24"/>
          <w:lang w:val="en-GB" w:eastAsia="en-GB"/>
        </w:rPr>
        <w:pict>
          <v:shape id="_x0000_s1036" type="#_x0000_t202" style="position:absolute;margin-left:8.15pt;margin-top:17.85pt;width:174.9pt;height:27.45pt;z-index:251672576">
            <v:textbox>
              <w:txbxContent>
                <w:p w:rsidR="00763392" w:rsidRPr="00621BAE" w:rsidRDefault="00763392" w:rsidP="00763392">
                  <w:pPr>
                    <w:rPr>
                      <w:sz w:val="26"/>
                      <w:szCs w:val="26"/>
                      <w:lang w:val="en-GB"/>
                    </w:rPr>
                  </w:pPr>
                  <w:r w:rsidRPr="00621BAE">
                    <w:rPr>
                      <w:color w:val="0070C0"/>
                      <w:sz w:val="26"/>
                      <w:szCs w:val="26"/>
                      <w:lang w:val="en-GB"/>
                    </w:rPr>
                    <w:t>Nasdaq</w:t>
                  </w:r>
                  <w:r w:rsidRPr="00621BAE">
                    <w:rPr>
                      <w:color w:val="00B0F0"/>
                      <w:sz w:val="26"/>
                      <w:szCs w:val="26"/>
                      <w:lang w:val="en-GB"/>
                    </w:rPr>
                    <w:t xml:space="preserve"> </w:t>
                  </w:r>
                  <w:r w:rsidRPr="00621BAE">
                    <w:rPr>
                      <w:sz w:val="26"/>
                      <w:szCs w:val="26"/>
                      <w:lang w:val="en-GB"/>
                    </w:rPr>
                    <w:t xml:space="preserve">  2,348.56   </w:t>
                  </w:r>
                  <w:r w:rsidRPr="00621BAE">
                    <w:rPr>
                      <w:color w:val="00B050"/>
                      <w:sz w:val="26"/>
                      <w:szCs w:val="26"/>
                      <w:lang w:val="en-GB"/>
                    </w:rPr>
                    <w:t>(+1.56%)</w:t>
                  </w:r>
                </w:p>
              </w:txbxContent>
            </v:textbox>
          </v:shape>
        </w:pict>
      </w:r>
      <w:r w:rsidR="00763392">
        <w:rPr>
          <w:szCs w:val="24"/>
          <w:lang w:val="en-GB"/>
        </w:rPr>
        <w:t>With the next minor user zoom, the LOD jumps in (abruptly)</w:t>
      </w:r>
      <w:r w:rsidR="00621BAE">
        <w:rPr>
          <w:szCs w:val="24"/>
          <w:lang w:val="en-GB"/>
        </w:rPr>
        <w:t xml:space="preserve">, and the fontsize </w:t>
      </w:r>
      <w:r w:rsidR="00B66ECB">
        <w:rPr>
          <w:szCs w:val="24"/>
          <w:lang w:val="en-GB"/>
        </w:rPr>
        <w:t>jumps to a</w:t>
      </w:r>
      <w:r w:rsidR="00621BAE">
        <w:rPr>
          <w:szCs w:val="24"/>
          <w:lang w:val="en-GB"/>
        </w:rPr>
        <w:t xml:space="preserve"> smaller</w:t>
      </w:r>
      <w:r w:rsidR="00B66ECB">
        <w:rPr>
          <w:szCs w:val="24"/>
          <w:lang w:val="en-GB"/>
        </w:rPr>
        <w:t xml:space="preserve"> one</w:t>
      </w:r>
      <w:r w:rsidR="00763392">
        <w:rPr>
          <w:szCs w:val="24"/>
          <w:lang w:val="en-GB"/>
        </w:rPr>
        <w:t>:</w:t>
      </w:r>
    </w:p>
    <w:p w:rsidR="00763392" w:rsidRDefault="00763392" w:rsidP="00CF2358">
      <w:pPr>
        <w:rPr>
          <w:szCs w:val="24"/>
          <w:lang w:val="en-GB"/>
        </w:rPr>
      </w:pPr>
    </w:p>
    <w:p w:rsidR="00763392" w:rsidRDefault="00763392" w:rsidP="00763392">
      <w:pPr>
        <w:rPr>
          <w:szCs w:val="24"/>
          <w:lang w:val="en-GB"/>
        </w:rPr>
      </w:pPr>
      <w:r>
        <w:rPr>
          <w:szCs w:val="24"/>
          <w:lang w:val="en-GB"/>
        </w:rPr>
        <w:br/>
        <w:t>And the user can zoom further, Magnification = 3x</w:t>
      </w:r>
    </w:p>
    <w:p w:rsidR="00763392" w:rsidRDefault="0017697D" w:rsidP="00CF2358">
      <w:pPr>
        <w:rPr>
          <w:szCs w:val="24"/>
          <w:lang w:val="en-GB"/>
        </w:rPr>
      </w:pPr>
      <w:r>
        <w:rPr>
          <w:noProof/>
          <w:szCs w:val="24"/>
          <w:lang w:val="en-GB" w:eastAsia="en-GB"/>
        </w:rPr>
        <w:pict>
          <v:shape id="_x0000_s1037" type="#_x0000_t202" style="position:absolute;margin-left:8.15pt;margin-top:2.35pt;width:277.25pt;height:43.3pt;z-index:251673600">
            <v:textbox>
              <w:txbxContent>
                <w:p w:rsidR="00277E14" w:rsidRPr="00277E14" w:rsidRDefault="00277E14" w:rsidP="00277E14">
                  <w:pPr>
                    <w:rPr>
                      <w:sz w:val="44"/>
                      <w:szCs w:val="44"/>
                      <w:lang w:val="en-GB"/>
                    </w:rPr>
                  </w:pPr>
                  <w:r w:rsidRPr="00277E14">
                    <w:rPr>
                      <w:color w:val="0070C0"/>
                      <w:sz w:val="44"/>
                      <w:szCs w:val="44"/>
                      <w:lang w:val="en-GB"/>
                    </w:rPr>
                    <w:t>Nasdaq</w:t>
                  </w:r>
                  <w:r w:rsidRPr="00277E14">
                    <w:rPr>
                      <w:color w:val="00B0F0"/>
                      <w:sz w:val="44"/>
                      <w:szCs w:val="44"/>
                      <w:lang w:val="en-GB"/>
                    </w:rPr>
                    <w:t xml:space="preserve"> </w:t>
                  </w:r>
                  <w:r w:rsidRPr="00277E14">
                    <w:rPr>
                      <w:sz w:val="44"/>
                      <w:szCs w:val="44"/>
                      <w:lang w:val="en-GB"/>
                    </w:rPr>
                    <w:t xml:space="preserve"> </w:t>
                  </w:r>
                  <w:r w:rsidR="00DB2CEF">
                    <w:rPr>
                      <w:sz w:val="44"/>
                      <w:szCs w:val="44"/>
                      <w:lang w:val="en-GB"/>
                    </w:rPr>
                    <w:t xml:space="preserve">  2,348.56 </w:t>
                  </w:r>
                  <w:r w:rsidRPr="00277E14">
                    <w:rPr>
                      <w:sz w:val="44"/>
                      <w:szCs w:val="44"/>
                      <w:lang w:val="en-GB"/>
                    </w:rPr>
                    <w:t xml:space="preserve">  </w:t>
                  </w:r>
                  <w:r w:rsidRPr="00277E14">
                    <w:rPr>
                      <w:color w:val="00B050"/>
                      <w:sz w:val="44"/>
                      <w:szCs w:val="44"/>
                      <w:lang w:val="en-GB"/>
                    </w:rPr>
                    <w:t>(+1.56%)</w:t>
                  </w:r>
                </w:p>
              </w:txbxContent>
            </v:textbox>
          </v:shape>
        </w:pict>
      </w:r>
    </w:p>
    <w:p w:rsidR="009532B3" w:rsidRDefault="009532B3" w:rsidP="00066EE9">
      <w:pPr>
        <w:rPr>
          <w:szCs w:val="24"/>
          <w:lang w:val="en-GB"/>
        </w:rPr>
      </w:pPr>
    </w:p>
    <w:p w:rsidR="00CB78FC" w:rsidRDefault="00CB78FC">
      <w:pPr>
        <w:rPr>
          <w:szCs w:val="24"/>
          <w:lang w:val="en-GB"/>
        </w:rPr>
      </w:pPr>
      <w:r>
        <w:rPr>
          <w:szCs w:val="24"/>
          <w:lang w:val="en-GB"/>
        </w:rPr>
        <w:br w:type="page"/>
      </w:r>
    </w:p>
    <w:p w:rsidR="00277E14" w:rsidRDefault="00277E14" w:rsidP="00066EE9">
      <w:pPr>
        <w:rPr>
          <w:szCs w:val="24"/>
          <w:lang w:val="en-GB"/>
        </w:rPr>
      </w:pPr>
    </w:p>
    <w:p w:rsidR="00277E14" w:rsidRDefault="00277E14" w:rsidP="00277E14">
      <w:pPr>
        <w:pStyle w:val="Heading2"/>
        <w:rPr>
          <w:lang w:val="hu-HU"/>
        </w:rPr>
      </w:pPr>
      <w:r>
        <w:rPr>
          <w:lang w:val="hu-HU"/>
        </w:rPr>
        <w:t>Zooming Method 3.</w:t>
      </w:r>
    </w:p>
    <w:p w:rsidR="00CB78FC" w:rsidRDefault="00CB78FC" w:rsidP="00CB78FC">
      <w:pPr>
        <w:rPr>
          <w:szCs w:val="24"/>
          <w:lang w:val="en-GB"/>
        </w:rPr>
      </w:pPr>
      <w:r>
        <w:rPr>
          <w:szCs w:val="24"/>
          <w:lang w:val="en-GB"/>
        </w:rPr>
        <w:t>What I propose to change is that the transition from one LOD to the other should be smooth.</w:t>
      </w:r>
      <w:r w:rsidR="001155FB">
        <w:rPr>
          <w:szCs w:val="24"/>
          <w:lang w:val="en-GB"/>
        </w:rPr>
        <w:t xml:space="preserve"> </w:t>
      </w:r>
    </w:p>
    <w:p w:rsidR="00CB78FC" w:rsidRDefault="0017697D" w:rsidP="00CB78FC">
      <w:pPr>
        <w:rPr>
          <w:szCs w:val="24"/>
          <w:lang w:val="en-GB"/>
        </w:rPr>
      </w:pPr>
      <w:r>
        <w:rPr>
          <w:noProof/>
          <w:szCs w:val="24"/>
          <w:lang w:val="en-GB" w:eastAsia="en-GB"/>
        </w:rPr>
        <w:pict>
          <v:shape id="_x0000_s1038" type="#_x0000_t202" style="position:absolute;margin-left:15.65pt;margin-top:21.8pt;width:88.5pt;height:20.75pt;z-index:251675648">
            <v:textbox>
              <w:txbxContent>
                <w:p w:rsidR="00CB78FC" w:rsidRPr="00CC65D8" w:rsidRDefault="00CB78FC" w:rsidP="00CB78FC">
                  <w:pPr>
                    <w:rPr>
                      <w:sz w:val="16"/>
                      <w:szCs w:val="16"/>
                      <w:lang w:val="en-GB"/>
                    </w:rPr>
                  </w:pPr>
                  <w:r w:rsidRPr="00CC65D8">
                    <w:rPr>
                      <w:color w:val="0070C0"/>
                      <w:sz w:val="16"/>
                      <w:szCs w:val="16"/>
                      <w:lang w:val="en-GB"/>
                    </w:rPr>
                    <w:t>Nasdaq</w:t>
                  </w:r>
                  <w:r w:rsidRPr="00CC65D8">
                    <w:rPr>
                      <w:color w:val="00B0F0"/>
                      <w:sz w:val="16"/>
                      <w:szCs w:val="16"/>
                      <w:lang w:val="en-GB"/>
                    </w:rPr>
                    <w:t xml:space="preserve"> </w:t>
                  </w:r>
                  <w:r w:rsidRPr="00CC65D8">
                    <w:rPr>
                      <w:sz w:val="16"/>
                      <w:szCs w:val="16"/>
                      <w:lang w:val="en-GB"/>
                    </w:rPr>
                    <w:t xml:space="preserve">   </w:t>
                  </w:r>
                  <w:r w:rsidRPr="00CC65D8">
                    <w:rPr>
                      <w:color w:val="00B050"/>
                      <w:sz w:val="16"/>
                      <w:szCs w:val="16"/>
                      <w:lang w:val="en-GB"/>
                    </w:rPr>
                    <w:t>(+1.56%)</w:t>
                  </w:r>
                </w:p>
              </w:txbxContent>
            </v:textbox>
          </v:shape>
        </w:pict>
      </w:r>
      <w:r w:rsidR="00CB78FC">
        <w:rPr>
          <w:szCs w:val="24"/>
          <w:lang w:val="en-GB"/>
        </w:rPr>
        <w:t>Original:</w:t>
      </w:r>
    </w:p>
    <w:p w:rsidR="00CB78FC" w:rsidRDefault="00CB78FC" w:rsidP="00CB78FC">
      <w:pPr>
        <w:rPr>
          <w:szCs w:val="24"/>
          <w:lang w:val="en-GB"/>
        </w:rPr>
      </w:pPr>
    </w:p>
    <w:p w:rsidR="00CB78FC" w:rsidRDefault="00CB78FC" w:rsidP="00CB78FC">
      <w:pPr>
        <w:rPr>
          <w:szCs w:val="24"/>
          <w:lang w:val="en-GB"/>
        </w:rPr>
      </w:pPr>
      <w:r>
        <w:rPr>
          <w:szCs w:val="24"/>
          <w:lang w:val="en-GB"/>
        </w:rPr>
        <w:t>Magnification = 1.3x</w:t>
      </w:r>
    </w:p>
    <w:p w:rsidR="00CB78FC" w:rsidRDefault="0017697D" w:rsidP="00CB78FC">
      <w:pPr>
        <w:rPr>
          <w:szCs w:val="24"/>
          <w:lang w:val="en-GB"/>
        </w:rPr>
      </w:pPr>
      <w:r>
        <w:rPr>
          <w:noProof/>
          <w:szCs w:val="24"/>
          <w:lang w:val="en-GB" w:eastAsia="en-GB"/>
        </w:rPr>
        <w:pict>
          <v:shape id="_x0000_s1039" type="#_x0000_t202" style="position:absolute;margin-left:8.15pt;margin-top:3.85pt;width:107.8pt;height:23.35pt;z-index:251676672">
            <v:textbox>
              <w:txbxContent>
                <w:p w:rsidR="00CB78FC" w:rsidRPr="00CB78FC" w:rsidRDefault="00CB78FC" w:rsidP="00CB78FC">
                  <w:pPr>
                    <w:rPr>
                      <w:sz w:val="24"/>
                      <w:szCs w:val="24"/>
                      <w:lang w:val="en-GB"/>
                    </w:rPr>
                  </w:pPr>
                  <w:r w:rsidRPr="00CB78FC">
                    <w:rPr>
                      <w:color w:val="0070C0"/>
                      <w:sz w:val="24"/>
                      <w:szCs w:val="24"/>
                      <w:lang w:val="en-GB"/>
                    </w:rPr>
                    <w:t>Nasdaq</w:t>
                  </w:r>
                  <w:r>
                    <w:rPr>
                      <w:color w:val="0070C0"/>
                      <w:sz w:val="24"/>
                      <w:szCs w:val="24"/>
                      <w:lang w:val="en-GB"/>
                    </w:rPr>
                    <w:t xml:space="preserve">  </w:t>
                  </w:r>
                  <w:r w:rsidRPr="00CB78FC">
                    <w:rPr>
                      <w:color w:val="00B0F0"/>
                      <w:sz w:val="24"/>
                      <w:szCs w:val="24"/>
                      <w:lang w:val="en-GB"/>
                    </w:rPr>
                    <w:t xml:space="preserve"> </w:t>
                  </w:r>
                  <w:r w:rsidRPr="00CB78FC">
                    <w:rPr>
                      <w:sz w:val="24"/>
                      <w:szCs w:val="24"/>
                      <w:lang w:val="en-GB"/>
                    </w:rPr>
                    <w:t xml:space="preserve"> </w:t>
                  </w:r>
                  <w:r w:rsidRPr="00CB78FC">
                    <w:rPr>
                      <w:color w:val="00B050"/>
                      <w:sz w:val="24"/>
                      <w:szCs w:val="24"/>
                      <w:lang w:val="en-GB"/>
                    </w:rPr>
                    <w:t>(+1.56%)</w:t>
                  </w:r>
                </w:p>
              </w:txbxContent>
            </v:textbox>
          </v:shape>
        </w:pict>
      </w:r>
    </w:p>
    <w:p w:rsidR="00CB78FC" w:rsidRDefault="001840B0" w:rsidP="00CB78FC">
      <w:pPr>
        <w:rPr>
          <w:szCs w:val="24"/>
          <w:lang w:val="en-GB"/>
        </w:rPr>
      </w:pPr>
      <w:r>
        <w:rPr>
          <w:szCs w:val="24"/>
          <w:lang w:val="en-GB"/>
        </w:rPr>
        <w:br/>
      </w:r>
      <w:r w:rsidR="00CB78FC">
        <w:rPr>
          <w:szCs w:val="24"/>
          <w:lang w:val="en-GB"/>
        </w:rPr>
        <w:t xml:space="preserve">Magnification = 1.35x, the new data appears in </w:t>
      </w:r>
      <w:r w:rsidR="009943F2">
        <w:rPr>
          <w:szCs w:val="24"/>
          <w:lang w:val="en-GB"/>
        </w:rPr>
        <w:t xml:space="preserve">very </w:t>
      </w:r>
      <w:r w:rsidR="00CB78FC">
        <w:rPr>
          <w:szCs w:val="24"/>
          <w:lang w:val="en-GB"/>
        </w:rPr>
        <w:t>small size</w:t>
      </w:r>
      <w:r w:rsidR="00DB2CEF">
        <w:rPr>
          <w:szCs w:val="24"/>
          <w:lang w:val="en-GB"/>
        </w:rPr>
        <w:t>, the fontsize of the already existing data doesn’t change</w:t>
      </w:r>
    </w:p>
    <w:p w:rsidR="00CB78FC" w:rsidRDefault="0017697D" w:rsidP="00CB78FC">
      <w:pPr>
        <w:rPr>
          <w:szCs w:val="24"/>
          <w:lang w:val="en-GB"/>
        </w:rPr>
      </w:pPr>
      <w:r>
        <w:rPr>
          <w:noProof/>
          <w:szCs w:val="24"/>
          <w:lang w:val="en-GB" w:eastAsia="en-GB"/>
        </w:rPr>
        <w:pict>
          <v:shape id="_x0000_s1042" type="#_x0000_t202" style="position:absolute;margin-left:8.15pt;margin-top:3.85pt;width:122.45pt;height:21.3pt;z-index:251680768">
            <v:textbox>
              <w:txbxContent>
                <w:p w:rsidR="00CB78FC" w:rsidRPr="00CB78FC" w:rsidRDefault="00CB78FC" w:rsidP="00CB78FC">
                  <w:pPr>
                    <w:rPr>
                      <w:sz w:val="24"/>
                      <w:szCs w:val="24"/>
                      <w:lang w:val="en-GB"/>
                    </w:rPr>
                  </w:pPr>
                  <w:r w:rsidRPr="00CB78FC">
                    <w:rPr>
                      <w:color w:val="0070C0"/>
                      <w:sz w:val="24"/>
                      <w:szCs w:val="24"/>
                      <w:lang w:val="en-GB"/>
                    </w:rPr>
                    <w:t>Nasdaq</w:t>
                  </w:r>
                  <w:r>
                    <w:rPr>
                      <w:color w:val="0070C0"/>
                      <w:sz w:val="24"/>
                      <w:szCs w:val="24"/>
                      <w:lang w:val="en-GB"/>
                    </w:rPr>
                    <w:t xml:space="preserve"> </w:t>
                  </w:r>
                  <w:r w:rsidRPr="00CB78FC">
                    <w:rPr>
                      <w:sz w:val="8"/>
                      <w:szCs w:val="8"/>
                      <w:lang w:val="en-GB"/>
                    </w:rPr>
                    <w:t>2,348.56</w:t>
                  </w:r>
                  <w:r>
                    <w:rPr>
                      <w:sz w:val="36"/>
                      <w:szCs w:val="36"/>
                      <w:lang w:val="en-GB"/>
                    </w:rPr>
                    <w:t xml:space="preserve"> </w:t>
                  </w:r>
                  <w:r w:rsidRPr="00CB78FC">
                    <w:rPr>
                      <w:sz w:val="24"/>
                      <w:szCs w:val="24"/>
                      <w:lang w:val="en-GB"/>
                    </w:rPr>
                    <w:t xml:space="preserve"> </w:t>
                  </w:r>
                  <w:r w:rsidRPr="00CB78FC">
                    <w:rPr>
                      <w:color w:val="00B050"/>
                      <w:sz w:val="24"/>
                      <w:szCs w:val="24"/>
                      <w:lang w:val="en-GB"/>
                    </w:rPr>
                    <w:t>(+1.56%)</w:t>
                  </w:r>
                </w:p>
              </w:txbxContent>
            </v:textbox>
          </v:shape>
        </w:pict>
      </w:r>
    </w:p>
    <w:p w:rsidR="00CB78FC" w:rsidRDefault="001840B0" w:rsidP="00CB78FC">
      <w:pPr>
        <w:rPr>
          <w:szCs w:val="24"/>
          <w:lang w:val="en-GB"/>
        </w:rPr>
      </w:pPr>
      <w:r>
        <w:rPr>
          <w:szCs w:val="24"/>
          <w:lang w:val="en-GB"/>
        </w:rPr>
        <w:br/>
      </w:r>
      <w:r w:rsidR="00CB78FC" w:rsidRPr="00CB78FC">
        <w:rPr>
          <w:szCs w:val="24"/>
          <w:lang w:val="en-GB"/>
        </w:rPr>
        <w:t xml:space="preserve"> </w:t>
      </w:r>
      <w:r w:rsidR="00CB78FC">
        <w:rPr>
          <w:szCs w:val="24"/>
          <w:lang w:val="en-GB"/>
        </w:rPr>
        <w:t>Magnification = 1.8x, the new data grows</w:t>
      </w:r>
    </w:p>
    <w:p w:rsidR="00CB78FC" w:rsidRDefault="0017697D" w:rsidP="00CB78FC">
      <w:pPr>
        <w:pBdr>
          <w:bottom w:val="single" w:sz="6" w:space="1" w:color="auto"/>
        </w:pBdr>
        <w:rPr>
          <w:szCs w:val="24"/>
          <w:lang w:val="en-GB"/>
        </w:rPr>
      </w:pPr>
      <w:r>
        <w:rPr>
          <w:noProof/>
          <w:szCs w:val="24"/>
          <w:lang w:val="en-GB" w:eastAsia="en-GB"/>
        </w:rPr>
        <w:pict>
          <v:shape id="_x0000_s1040" type="#_x0000_t202" style="position:absolute;margin-left:8.15pt;margin-top:.8pt;width:161.5pt;height:23.85pt;z-index:251677696">
            <v:textbox>
              <w:txbxContent>
                <w:p w:rsidR="00CB78FC" w:rsidRPr="00CB78FC" w:rsidRDefault="00CB78FC" w:rsidP="00CB78FC">
                  <w:pPr>
                    <w:rPr>
                      <w:sz w:val="24"/>
                      <w:szCs w:val="24"/>
                      <w:lang w:val="en-GB"/>
                    </w:rPr>
                  </w:pPr>
                  <w:r w:rsidRPr="00CB78FC">
                    <w:rPr>
                      <w:color w:val="0070C0"/>
                      <w:sz w:val="24"/>
                      <w:szCs w:val="24"/>
                      <w:lang w:val="en-GB"/>
                    </w:rPr>
                    <w:t>Nasdaq</w:t>
                  </w:r>
                  <w:r w:rsidRPr="00CB78FC">
                    <w:rPr>
                      <w:color w:val="00B0F0"/>
                      <w:sz w:val="24"/>
                      <w:szCs w:val="24"/>
                      <w:lang w:val="en-GB"/>
                    </w:rPr>
                    <w:t xml:space="preserve"> </w:t>
                  </w:r>
                  <w:r w:rsidRPr="00CB78FC">
                    <w:rPr>
                      <w:sz w:val="24"/>
                      <w:szCs w:val="24"/>
                      <w:lang w:val="en-GB"/>
                    </w:rPr>
                    <w:t xml:space="preserve">  2,348.56   </w:t>
                  </w:r>
                  <w:r w:rsidRPr="00CB78FC">
                    <w:rPr>
                      <w:color w:val="00B050"/>
                      <w:sz w:val="24"/>
                      <w:szCs w:val="24"/>
                      <w:lang w:val="en-GB"/>
                    </w:rPr>
                    <w:t>(+1.56%)</w:t>
                  </w:r>
                </w:p>
              </w:txbxContent>
            </v:textbox>
          </v:shape>
        </w:pict>
      </w:r>
    </w:p>
    <w:p w:rsidR="00CB78FC" w:rsidRDefault="00CB78FC" w:rsidP="00CB78FC">
      <w:pPr>
        <w:pBdr>
          <w:bottom w:val="single" w:sz="6" w:space="1" w:color="auto"/>
        </w:pBdr>
        <w:rPr>
          <w:szCs w:val="24"/>
          <w:lang w:val="en-GB"/>
        </w:rPr>
      </w:pPr>
    </w:p>
    <w:p w:rsidR="00CB78FC" w:rsidRDefault="00CB78FC" w:rsidP="00CB78FC">
      <w:pPr>
        <w:rPr>
          <w:szCs w:val="24"/>
          <w:lang w:val="en-GB"/>
        </w:rPr>
      </w:pPr>
      <w:r>
        <w:rPr>
          <w:szCs w:val="24"/>
          <w:lang w:val="en-GB"/>
        </w:rPr>
        <w:t xml:space="preserve">This kind of approach would limit the fontSize (or other size) of the elements to a </w:t>
      </w:r>
      <w:r w:rsidR="00327790">
        <w:rPr>
          <w:szCs w:val="24"/>
          <w:lang w:val="en-GB"/>
        </w:rPr>
        <w:t xml:space="preserve">maximum </w:t>
      </w:r>
      <w:r>
        <w:rPr>
          <w:szCs w:val="24"/>
          <w:lang w:val="en-GB"/>
        </w:rPr>
        <w:t>threshold. So, if the user zooms further, the fontsize will not grow to illegible huge</w:t>
      </w:r>
      <w:r w:rsidR="00DB2CEF">
        <w:rPr>
          <w:szCs w:val="24"/>
          <w:lang w:val="en-GB"/>
        </w:rPr>
        <w:t xml:space="preserve"> size</w:t>
      </w:r>
      <w:r>
        <w:rPr>
          <w:szCs w:val="24"/>
          <w:lang w:val="en-GB"/>
        </w:rPr>
        <w:t>.</w:t>
      </w:r>
      <w:r w:rsidR="001840B0">
        <w:rPr>
          <w:szCs w:val="24"/>
          <w:lang w:val="en-GB"/>
        </w:rPr>
        <w:t xml:space="preserve"> There is no point doing that.</w:t>
      </w:r>
      <w:r>
        <w:rPr>
          <w:szCs w:val="24"/>
          <w:lang w:val="en-GB"/>
        </w:rPr>
        <w:br/>
      </w:r>
      <w:r w:rsidR="001840B0">
        <w:rPr>
          <w:szCs w:val="24"/>
          <w:lang w:val="en-GB"/>
        </w:rPr>
        <w:br/>
      </w:r>
      <w:r>
        <w:rPr>
          <w:szCs w:val="24"/>
          <w:lang w:val="en-GB"/>
        </w:rPr>
        <w:t>And the user can zoom further, Magnification = 3x</w:t>
      </w:r>
    </w:p>
    <w:p w:rsidR="00CB78FC" w:rsidRDefault="0017697D" w:rsidP="00CB78FC">
      <w:pPr>
        <w:rPr>
          <w:szCs w:val="24"/>
          <w:lang w:val="en-GB"/>
        </w:rPr>
      </w:pPr>
      <w:r>
        <w:rPr>
          <w:noProof/>
          <w:szCs w:val="24"/>
          <w:lang w:val="en-GB" w:eastAsia="en-GB"/>
        </w:rPr>
        <w:pict>
          <v:shape id="_x0000_s1041" type="#_x0000_t202" style="position:absolute;margin-left:8.15pt;margin-top:2.35pt;width:277.25pt;height:43.3pt;z-index:251678720">
            <v:textbox style="mso-next-textbox:#_x0000_s1041">
              <w:txbxContent>
                <w:p w:rsidR="00CB78FC" w:rsidRPr="00CB78FC" w:rsidRDefault="001840B0" w:rsidP="00CB78FC">
                  <w:pPr>
                    <w:rPr>
                      <w:sz w:val="24"/>
                      <w:szCs w:val="24"/>
                      <w:lang w:val="en-GB"/>
                    </w:rPr>
                  </w:pPr>
                  <w:r>
                    <w:rPr>
                      <w:color w:val="0070C0"/>
                      <w:sz w:val="16"/>
                      <w:szCs w:val="16"/>
                      <w:lang w:val="en-GB"/>
                    </w:rPr>
                    <w:br/>
                  </w:r>
                  <w:r w:rsidR="00CB78FC" w:rsidRPr="00CB78FC">
                    <w:rPr>
                      <w:color w:val="0070C0"/>
                      <w:sz w:val="24"/>
                      <w:szCs w:val="24"/>
                      <w:lang w:val="en-GB"/>
                    </w:rPr>
                    <w:t>Nasdaq</w:t>
                  </w:r>
                  <w:r w:rsidR="00CB78FC" w:rsidRPr="00CB78FC">
                    <w:rPr>
                      <w:color w:val="00B0F0"/>
                      <w:sz w:val="24"/>
                      <w:szCs w:val="24"/>
                      <w:lang w:val="en-GB"/>
                    </w:rPr>
                    <w:t xml:space="preserve"> </w:t>
                  </w:r>
                  <w:r w:rsidR="00CB78FC" w:rsidRPr="00CB78FC">
                    <w:rPr>
                      <w:sz w:val="24"/>
                      <w:szCs w:val="24"/>
                      <w:lang w:val="en-GB"/>
                    </w:rPr>
                    <w:t xml:space="preserve"> </w:t>
                  </w:r>
                  <w:r w:rsidR="00CB78FC">
                    <w:rPr>
                      <w:sz w:val="24"/>
                      <w:szCs w:val="24"/>
                      <w:lang w:val="en-GB"/>
                    </w:rPr>
                    <w:t xml:space="preserve">                      </w:t>
                  </w:r>
                  <w:r w:rsidR="00CB78FC" w:rsidRPr="00CB78FC">
                    <w:rPr>
                      <w:sz w:val="24"/>
                      <w:szCs w:val="24"/>
                      <w:lang w:val="en-GB"/>
                    </w:rPr>
                    <w:t xml:space="preserve">2,348.56     </w:t>
                  </w:r>
                  <w:r w:rsidR="00CB78FC">
                    <w:rPr>
                      <w:sz w:val="24"/>
                      <w:szCs w:val="24"/>
                      <w:lang w:val="en-GB"/>
                    </w:rPr>
                    <w:t xml:space="preserve">                      </w:t>
                  </w:r>
                  <w:r w:rsidR="00CB78FC" w:rsidRPr="00CB78FC">
                    <w:rPr>
                      <w:color w:val="00B050"/>
                      <w:sz w:val="24"/>
                      <w:szCs w:val="24"/>
                      <w:lang w:val="en-GB"/>
                    </w:rPr>
                    <w:t>(+1.56%)</w:t>
                  </w:r>
                </w:p>
              </w:txbxContent>
            </v:textbox>
          </v:shape>
        </w:pict>
      </w:r>
    </w:p>
    <w:p w:rsidR="00CB78FC" w:rsidRDefault="00CB78FC" w:rsidP="00CB78FC">
      <w:pPr>
        <w:rPr>
          <w:szCs w:val="24"/>
          <w:lang w:val="en-GB"/>
        </w:rPr>
      </w:pPr>
    </w:p>
    <w:p w:rsidR="0076275E" w:rsidRDefault="001155FB" w:rsidP="001840B0">
      <w:pPr>
        <w:jc w:val="both"/>
        <w:rPr>
          <w:szCs w:val="24"/>
          <w:lang w:val="en-GB"/>
        </w:rPr>
      </w:pPr>
      <w:r>
        <w:rPr>
          <w:szCs w:val="24"/>
          <w:lang w:val="en-GB"/>
        </w:rPr>
        <w:br/>
      </w:r>
    </w:p>
    <w:p w:rsidR="0076275E" w:rsidRDefault="0076275E">
      <w:pPr>
        <w:rPr>
          <w:szCs w:val="24"/>
          <w:lang w:val="en-GB"/>
        </w:rPr>
      </w:pPr>
      <w:r>
        <w:rPr>
          <w:szCs w:val="24"/>
          <w:lang w:val="en-GB"/>
        </w:rPr>
        <w:br w:type="page"/>
      </w:r>
    </w:p>
    <w:p w:rsidR="00B03182" w:rsidRDefault="001155FB" w:rsidP="001840B0">
      <w:pPr>
        <w:jc w:val="both"/>
        <w:rPr>
          <w:szCs w:val="24"/>
          <w:lang w:val="en-GB"/>
        </w:rPr>
      </w:pPr>
      <w:r>
        <w:rPr>
          <w:szCs w:val="24"/>
          <w:lang w:val="en-GB"/>
        </w:rPr>
        <w:lastRenderedPageBreak/>
        <w:t xml:space="preserve">However, this concept is not the distretized LOD, that is commonly used. We cannot really say </w:t>
      </w:r>
      <w:r w:rsidR="001E6AC7">
        <w:rPr>
          <w:szCs w:val="24"/>
          <w:lang w:val="en-GB"/>
        </w:rPr>
        <w:t xml:space="preserve">any more </w:t>
      </w:r>
      <w:r>
        <w:rPr>
          <w:szCs w:val="24"/>
          <w:lang w:val="en-GB"/>
        </w:rPr>
        <w:t>that LOD1 contains 2 controls and LOD2 contains 3 controls</w:t>
      </w:r>
      <w:r w:rsidR="00327790">
        <w:rPr>
          <w:szCs w:val="24"/>
          <w:lang w:val="en-GB"/>
        </w:rPr>
        <w:t>,</w:t>
      </w:r>
      <w:r>
        <w:rPr>
          <w:szCs w:val="24"/>
          <w:lang w:val="en-GB"/>
        </w:rPr>
        <w:t xml:space="preserve"> because the whole process is continuous. Let’s see why. Let’s introduce another </w:t>
      </w:r>
      <w:r w:rsidR="00327790">
        <w:rPr>
          <w:szCs w:val="24"/>
          <w:lang w:val="en-GB"/>
        </w:rPr>
        <w:t xml:space="preserve">further visualized </w:t>
      </w:r>
      <w:r>
        <w:rPr>
          <w:szCs w:val="24"/>
          <w:lang w:val="en-GB"/>
        </w:rPr>
        <w:t>data: the</w:t>
      </w:r>
      <w:r w:rsidR="00134E86">
        <w:rPr>
          <w:szCs w:val="24"/>
          <w:lang w:val="en-GB"/>
        </w:rPr>
        <w:t xml:space="preserve"> value of change. (of the Nasdaq</w:t>
      </w:r>
      <w:r>
        <w:rPr>
          <w:szCs w:val="24"/>
          <w:lang w:val="en-GB"/>
        </w:rPr>
        <w:t>)</w:t>
      </w:r>
    </w:p>
    <w:p w:rsidR="00B03182" w:rsidRDefault="00B03182" w:rsidP="00B03182">
      <w:pPr>
        <w:rPr>
          <w:szCs w:val="24"/>
          <w:lang w:val="en-GB"/>
        </w:rPr>
      </w:pPr>
      <w:r>
        <w:rPr>
          <w:szCs w:val="24"/>
          <w:lang w:val="en-GB"/>
        </w:rPr>
        <w:t>Magnification = 1.35x, the new data</w:t>
      </w:r>
      <w:r w:rsidR="00A90A86">
        <w:rPr>
          <w:szCs w:val="24"/>
          <w:lang w:val="en-GB"/>
        </w:rPr>
        <w:t xml:space="preserve"> (</w:t>
      </w:r>
      <w:r w:rsidR="00551C79">
        <w:rPr>
          <w:szCs w:val="24"/>
          <w:lang w:val="en-GB"/>
        </w:rPr>
        <w:t>“</w:t>
      </w:r>
      <w:r w:rsidR="00A90A86">
        <w:rPr>
          <w:szCs w:val="24"/>
          <w:lang w:val="en-GB"/>
        </w:rPr>
        <w:t>Nasdaq value</w:t>
      </w:r>
      <w:r w:rsidR="00551C79">
        <w:rPr>
          <w:szCs w:val="24"/>
          <w:lang w:val="en-GB"/>
        </w:rPr>
        <w:t>”</w:t>
      </w:r>
      <w:r w:rsidR="00A90A86">
        <w:rPr>
          <w:szCs w:val="24"/>
          <w:lang w:val="en-GB"/>
        </w:rPr>
        <w:t xml:space="preserve">) </w:t>
      </w:r>
      <w:r>
        <w:rPr>
          <w:szCs w:val="24"/>
          <w:lang w:val="en-GB"/>
        </w:rPr>
        <w:t>appears in small size</w:t>
      </w:r>
    </w:p>
    <w:p w:rsidR="00B03182" w:rsidRDefault="0017697D" w:rsidP="00B03182">
      <w:pPr>
        <w:rPr>
          <w:szCs w:val="24"/>
          <w:lang w:val="en-GB"/>
        </w:rPr>
      </w:pPr>
      <w:r>
        <w:rPr>
          <w:noProof/>
          <w:szCs w:val="24"/>
          <w:lang w:val="en-GB" w:eastAsia="en-GB"/>
        </w:rPr>
        <w:pict>
          <v:shape id="_x0000_s1044" type="#_x0000_t202" style="position:absolute;margin-left:8.15pt;margin-top:3.85pt;width:122.45pt;height:21.3pt;z-index:251683840">
            <v:textbox>
              <w:txbxContent>
                <w:p w:rsidR="00B03182" w:rsidRPr="00CB78FC" w:rsidRDefault="00B03182" w:rsidP="00B03182">
                  <w:pPr>
                    <w:rPr>
                      <w:sz w:val="24"/>
                      <w:szCs w:val="24"/>
                      <w:lang w:val="en-GB"/>
                    </w:rPr>
                  </w:pPr>
                  <w:r w:rsidRPr="00CB78FC">
                    <w:rPr>
                      <w:color w:val="0070C0"/>
                      <w:sz w:val="24"/>
                      <w:szCs w:val="24"/>
                      <w:lang w:val="en-GB"/>
                    </w:rPr>
                    <w:t>Nasdaq</w:t>
                  </w:r>
                  <w:r>
                    <w:rPr>
                      <w:color w:val="0070C0"/>
                      <w:sz w:val="24"/>
                      <w:szCs w:val="24"/>
                      <w:lang w:val="en-GB"/>
                    </w:rPr>
                    <w:t xml:space="preserve"> </w:t>
                  </w:r>
                  <w:r w:rsidRPr="00CB78FC">
                    <w:rPr>
                      <w:sz w:val="8"/>
                      <w:szCs w:val="8"/>
                      <w:lang w:val="en-GB"/>
                    </w:rPr>
                    <w:t>2,348.56</w:t>
                  </w:r>
                  <w:r>
                    <w:rPr>
                      <w:sz w:val="36"/>
                      <w:szCs w:val="36"/>
                      <w:lang w:val="en-GB"/>
                    </w:rPr>
                    <w:t xml:space="preserve"> </w:t>
                  </w:r>
                  <w:r w:rsidRPr="00CB78FC">
                    <w:rPr>
                      <w:sz w:val="24"/>
                      <w:szCs w:val="24"/>
                      <w:lang w:val="en-GB"/>
                    </w:rPr>
                    <w:t xml:space="preserve"> </w:t>
                  </w:r>
                  <w:r w:rsidRPr="00CB78FC">
                    <w:rPr>
                      <w:color w:val="00B050"/>
                      <w:sz w:val="24"/>
                      <w:szCs w:val="24"/>
                      <w:lang w:val="en-GB"/>
                    </w:rPr>
                    <w:t>(+1.56%)</w:t>
                  </w:r>
                </w:p>
              </w:txbxContent>
            </v:textbox>
          </v:shape>
        </w:pict>
      </w:r>
    </w:p>
    <w:p w:rsidR="00B03182" w:rsidRDefault="0017697D" w:rsidP="00B03182">
      <w:pPr>
        <w:rPr>
          <w:szCs w:val="24"/>
          <w:lang w:val="en-GB"/>
        </w:rPr>
      </w:pPr>
      <w:r>
        <w:rPr>
          <w:noProof/>
          <w:szCs w:val="24"/>
          <w:lang w:val="en-GB" w:eastAsia="en-GB"/>
        </w:rPr>
        <w:pict>
          <v:shape id="_x0000_s1043" type="#_x0000_t202" style="position:absolute;margin-left:3.9pt;margin-top:37.2pt;width:150.45pt;height:23.85pt;z-index:251682816">
            <v:textbox>
              <w:txbxContent>
                <w:p w:rsidR="00B03182" w:rsidRPr="00CB78FC" w:rsidRDefault="00B03182" w:rsidP="00B03182">
                  <w:pPr>
                    <w:rPr>
                      <w:sz w:val="24"/>
                      <w:szCs w:val="24"/>
                      <w:lang w:val="en-GB"/>
                    </w:rPr>
                  </w:pPr>
                  <w:r w:rsidRPr="00CB78FC">
                    <w:rPr>
                      <w:color w:val="0070C0"/>
                      <w:sz w:val="24"/>
                      <w:szCs w:val="24"/>
                      <w:lang w:val="en-GB"/>
                    </w:rPr>
                    <w:t>Nasdaq</w:t>
                  </w:r>
                  <w:r w:rsidRPr="00CB78FC">
                    <w:rPr>
                      <w:color w:val="00B0F0"/>
                      <w:sz w:val="24"/>
                      <w:szCs w:val="24"/>
                      <w:lang w:val="en-GB"/>
                    </w:rPr>
                    <w:t xml:space="preserve"> </w:t>
                  </w:r>
                  <w:r w:rsidRPr="00CB78FC">
                    <w:rPr>
                      <w:sz w:val="24"/>
                      <w:szCs w:val="24"/>
                      <w:lang w:val="en-GB"/>
                    </w:rPr>
                    <w:t xml:space="preserve">  </w:t>
                  </w:r>
                  <w:r w:rsidRPr="00A90A86">
                    <w:rPr>
                      <w:sz w:val="18"/>
                      <w:szCs w:val="18"/>
                      <w:lang w:val="en-GB"/>
                    </w:rPr>
                    <w:t>2,348.56</w:t>
                  </w:r>
                  <w:r w:rsidRPr="00CB78FC">
                    <w:rPr>
                      <w:sz w:val="24"/>
                      <w:szCs w:val="24"/>
                      <w:lang w:val="en-GB"/>
                    </w:rPr>
                    <w:t xml:space="preserve">   </w:t>
                  </w:r>
                  <w:r w:rsidRPr="00CB78FC">
                    <w:rPr>
                      <w:color w:val="00B050"/>
                      <w:sz w:val="24"/>
                      <w:szCs w:val="24"/>
                      <w:lang w:val="en-GB"/>
                    </w:rPr>
                    <w:t>(+1.56%)</w:t>
                  </w:r>
                </w:p>
              </w:txbxContent>
            </v:textbox>
          </v:shape>
        </w:pict>
      </w:r>
      <w:r w:rsidR="00B03182">
        <w:rPr>
          <w:szCs w:val="24"/>
          <w:lang w:val="en-GB"/>
        </w:rPr>
        <w:br/>
      </w:r>
      <w:r w:rsidR="00B03182" w:rsidRPr="00CB78FC">
        <w:rPr>
          <w:szCs w:val="24"/>
          <w:lang w:val="en-GB"/>
        </w:rPr>
        <w:t xml:space="preserve"> </w:t>
      </w:r>
      <w:r w:rsidR="00B03182">
        <w:rPr>
          <w:szCs w:val="24"/>
          <w:lang w:val="en-GB"/>
        </w:rPr>
        <w:t>Magnification = 1</w:t>
      </w:r>
      <w:r w:rsidR="00A90A86">
        <w:rPr>
          <w:szCs w:val="24"/>
          <w:lang w:val="en-GB"/>
        </w:rPr>
        <w:t>.6</w:t>
      </w:r>
      <w:r w:rsidR="00B03182">
        <w:rPr>
          <w:szCs w:val="24"/>
          <w:lang w:val="en-GB"/>
        </w:rPr>
        <w:t>x, the new data grows</w:t>
      </w:r>
      <w:r w:rsidR="00A90A86">
        <w:rPr>
          <w:szCs w:val="24"/>
          <w:lang w:val="en-GB"/>
        </w:rPr>
        <w:t>, (</w:t>
      </w:r>
      <w:r w:rsidR="00551C79">
        <w:rPr>
          <w:szCs w:val="24"/>
          <w:lang w:val="en-GB"/>
        </w:rPr>
        <w:t>“</w:t>
      </w:r>
      <w:r w:rsidR="00A90A86">
        <w:rPr>
          <w:szCs w:val="24"/>
          <w:lang w:val="en-GB"/>
        </w:rPr>
        <w:t>Nasdaq value</w:t>
      </w:r>
      <w:r w:rsidR="00551C79">
        <w:rPr>
          <w:szCs w:val="24"/>
          <w:lang w:val="en-GB"/>
        </w:rPr>
        <w:t>”</w:t>
      </w:r>
      <w:r w:rsidR="00A90A86">
        <w:rPr>
          <w:szCs w:val="24"/>
          <w:lang w:val="en-GB"/>
        </w:rPr>
        <w:t xml:space="preserve"> is bigger)</w:t>
      </w:r>
    </w:p>
    <w:p w:rsidR="00A90A86" w:rsidRDefault="00A90A86" w:rsidP="00B03182">
      <w:pPr>
        <w:rPr>
          <w:szCs w:val="24"/>
          <w:lang w:val="en-GB"/>
        </w:rPr>
      </w:pPr>
    </w:p>
    <w:p w:rsidR="00A90A86" w:rsidRDefault="000501BE" w:rsidP="00A90A86">
      <w:pPr>
        <w:rPr>
          <w:szCs w:val="24"/>
          <w:lang w:val="en-GB"/>
        </w:rPr>
      </w:pPr>
      <w:r>
        <w:rPr>
          <w:szCs w:val="24"/>
          <w:lang w:val="en-GB"/>
        </w:rPr>
        <w:br/>
      </w:r>
      <w:r w:rsidR="00A90A86">
        <w:rPr>
          <w:szCs w:val="24"/>
          <w:lang w:val="en-GB"/>
        </w:rPr>
        <w:t>Magnification = 1.6</w:t>
      </w:r>
      <w:r w:rsidR="00327790">
        <w:rPr>
          <w:szCs w:val="24"/>
          <w:lang w:val="en-GB"/>
        </w:rPr>
        <w:t>5</w:t>
      </w:r>
      <w:r w:rsidR="00A90A86">
        <w:rPr>
          <w:szCs w:val="24"/>
          <w:lang w:val="en-GB"/>
        </w:rPr>
        <w:t>x, the new data grows, (</w:t>
      </w:r>
      <w:r w:rsidR="00551C79">
        <w:rPr>
          <w:szCs w:val="24"/>
          <w:lang w:val="en-GB"/>
        </w:rPr>
        <w:t>“</w:t>
      </w:r>
      <w:r w:rsidR="00A90A86">
        <w:rPr>
          <w:szCs w:val="24"/>
          <w:lang w:val="en-GB"/>
        </w:rPr>
        <w:t>Nasdaq value</w:t>
      </w:r>
      <w:r w:rsidR="00551C79">
        <w:rPr>
          <w:szCs w:val="24"/>
          <w:lang w:val="en-GB"/>
        </w:rPr>
        <w:t>”</w:t>
      </w:r>
      <w:r w:rsidR="00A90A86">
        <w:rPr>
          <w:szCs w:val="24"/>
          <w:lang w:val="en-GB"/>
        </w:rPr>
        <w:t xml:space="preserve"> is bigger, but doesn’t achieve its full size) AND </w:t>
      </w:r>
      <w:r w:rsidR="00327790">
        <w:rPr>
          <w:szCs w:val="24"/>
          <w:lang w:val="en-GB"/>
        </w:rPr>
        <w:t>“</w:t>
      </w:r>
      <w:r w:rsidR="00A90A86">
        <w:rPr>
          <w:szCs w:val="24"/>
          <w:lang w:val="en-GB"/>
        </w:rPr>
        <w:t>Nasdaq change</w:t>
      </w:r>
      <w:r w:rsidR="00327790">
        <w:rPr>
          <w:szCs w:val="24"/>
          <w:lang w:val="en-GB"/>
        </w:rPr>
        <w:t>”</w:t>
      </w:r>
      <w:r w:rsidR="00A90A86">
        <w:rPr>
          <w:szCs w:val="24"/>
          <w:lang w:val="en-GB"/>
        </w:rPr>
        <w:t xml:space="preserve"> appears in </w:t>
      </w:r>
      <w:r w:rsidR="00327790">
        <w:rPr>
          <w:szCs w:val="24"/>
          <w:lang w:val="en-GB"/>
        </w:rPr>
        <w:t xml:space="preserve">very </w:t>
      </w:r>
      <w:r w:rsidR="00A90A86">
        <w:rPr>
          <w:szCs w:val="24"/>
          <w:lang w:val="en-GB"/>
        </w:rPr>
        <w:t>small</w:t>
      </w:r>
      <w:r w:rsidR="00327790">
        <w:rPr>
          <w:szCs w:val="24"/>
          <w:lang w:val="en-GB"/>
        </w:rPr>
        <w:t xml:space="preserve"> size</w:t>
      </w:r>
    </w:p>
    <w:p w:rsidR="00A90A86" w:rsidRDefault="0017697D" w:rsidP="00B03182">
      <w:pPr>
        <w:rPr>
          <w:szCs w:val="24"/>
          <w:lang w:val="en-GB"/>
        </w:rPr>
      </w:pPr>
      <w:r>
        <w:rPr>
          <w:noProof/>
          <w:szCs w:val="24"/>
          <w:lang w:val="en-GB" w:eastAsia="en-GB"/>
        </w:rPr>
        <w:pict>
          <v:shape id="_x0000_s1045" type="#_x0000_t202" style="position:absolute;margin-left:3.9pt;margin-top:.35pt;width:156.55pt;height:23.85pt;z-index:251684864">
            <v:textbox>
              <w:txbxContent>
                <w:p w:rsidR="00A90A86" w:rsidRPr="00CB78FC" w:rsidRDefault="00A90A86" w:rsidP="00A90A86">
                  <w:pPr>
                    <w:rPr>
                      <w:sz w:val="24"/>
                      <w:szCs w:val="24"/>
                      <w:lang w:val="en-GB"/>
                    </w:rPr>
                  </w:pPr>
                  <w:r w:rsidRPr="00CB78FC">
                    <w:rPr>
                      <w:color w:val="0070C0"/>
                      <w:sz w:val="24"/>
                      <w:szCs w:val="24"/>
                      <w:lang w:val="en-GB"/>
                    </w:rPr>
                    <w:t>Nasdaq</w:t>
                  </w:r>
                  <w:r w:rsidRPr="00CB78FC">
                    <w:rPr>
                      <w:color w:val="00B0F0"/>
                      <w:sz w:val="24"/>
                      <w:szCs w:val="24"/>
                      <w:lang w:val="en-GB"/>
                    </w:rPr>
                    <w:t xml:space="preserve"> </w:t>
                  </w:r>
                  <w:r w:rsidRPr="00CB78FC">
                    <w:rPr>
                      <w:sz w:val="24"/>
                      <w:szCs w:val="24"/>
                      <w:lang w:val="en-GB"/>
                    </w:rPr>
                    <w:t xml:space="preserve">  </w:t>
                  </w:r>
                  <w:r w:rsidRPr="00A90A86">
                    <w:rPr>
                      <w:sz w:val="18"/>
                      <w:szCs w:val="18"/>
                      <w:lang w:val="en-GB"/>
                    </w:rPr>
                    <w:t>2,348.56</w:t>
                  </w:r>
                  <w:r w:rsidRPr="00CB78FC">
                    <w:rPr>
                      <w:sz w:val="24"/>
                      <w:szCs w:val="24"/>
                      <w:lang w:val="en-GB"/>
                    </w:rPr>
                    <w:t xml:space="preserve">  </w:t>
                  </w:r>
                  <w:r w:rsidRPr="00A90A86">
                    <w:rPr>
                      <w:color w:val="00B050"/>
                      <w:sz w:val="8"/>
                      <w:szCs w:val="8"/>
                      <w:lang w:val="en-GB"/>
                    </w:rPr>
                    <w:t>+36.28</w:t>
                  </w:r>
                  <w:r w:rsidRPr="00CB78FC">
                    <w:rPr>
                      <w:sz w:val="24"/>
                      <w:szCs w:val="24"/>
                      <w:lang w:val="en-GB"/>
                    </w:rPr>
                    <w:t xml:space="preserve"> </w:t>
                  </w:r>
                  <w:r w:rsidRPr="00CB78FC">
                    <w:rPr>
                      <w:color w:val="00B050"/>
                      <w:sz w:val="24"/>
                      <w:szCs w:val="24"/>
                      <w:lang w:val="en-GB"/>
                    </w:rPr>
                    <w:t>(+1.56%)</w:t>
                  </w:r>
                </w:p>
              </w:txbxContent>
            </v:textbox>
          </v:shape>
        </w:pict>
      </w:r>
    </w:p>
    <w:p w:rsidR="00A90A86" w:rsidRDefault="0017697D" w:rsidP="00A90A86">
      <w:pPr>
        <w:rPr>
          <w:szCs w:val="24"/>
          <w:lang w:val="en-GB"/>
        </w:rPr>
      </w:pPr>
      <w:r>
        <w:rPr>
          <w:noProof/>
          <w:szCs w:val="24"/>
          <w:lang w:val="en-GB" w:eastAsia="en-GB"/>
        </w:rPr>
        <w:pict>
          <v:shape id="_x0000_s1046" type="#_x0000_t202" style="position:absolute;margin-left:.25pt;margin-top:52.85pt;width:184.65pt;height:23.85pt;z-index:251686912">
            <v:textbox>
              <w:txbxContent>
                <w:p w:rsidR="00A90A86" w:rsidRPr="00CB78FC" w:rsidRDefault="00A90A86" w:rsidP="00A90A86">
                  <w:pPr>
                    <w:rPr>
                      <w:sz w:val="24"/>
                      <w:szCs w:val="24"/>
                      <w:lang w:val="en-GB"/>
                    </w:rPr>
                  </w:pPr>
                  <w:r w:rsidRPr="00CB78FC">
                    <w:rPr>
                      <w:color w:val="0070C0"/>
                      <w:sz w:val="24"/>
                      <w:szCs w:val="24"/>
                      <w:lang w:val="en-GB"/>
                    </w:rPr>
                    <w:t>Nasdaq</w:t>
                  </w:r>
                  <w:r w:rsidRPr="00CB78FC">
                    <w:rPr>
                      <w:color w:val="00B0F0"/>
                      <w:sz w:val="24"/>
                      <w:szCs w:val="24"/>
                      <w:lang w:val="en-GB"/>
                    </w:rPr>
                    <w:t xml:space="preserve"> </w:t>
                  </w:r>
                  <w:r w:rsidRPr="00CB78FC">
                    <w:rPr>
                      <w:sz w:val="24"/>
                      <w:szCs w:val="24"/>
                      <w:lang w:val="en-GB"/>
                    </w:rPr>
                    <w:t xml:space="preserve">  2,348.56 </w:t>
                  </w:r>
                  <w:r w:rsidRPr="00A90A86">
                    <w:rPr>
                      <w:color w:val="00B050"/>
                      <w:sz w:val="8"/>
                      <w:szCs w:val="8"/>
                      <w:lang w:val="en-GB"/>
                    </w:rPr>
                    <w:t>+</w:t>
                  </w:r>
                  <w:r w:rsidRPr="00A90A86">
                    <w:rPr>
                      <w:color w:val="00B050"/>
                      <w:sz w:val="16"/>
                      <w:szCs w:val="16"/>
                      <w:lang w:val="en-GB"/>
                    </w:rPr>
                    <w:t>36.28</w:t>
                  </w:r>
                  <w:r w:rsidRPr="00CB78FC">
                    <w:rPr>
                      <w:sz w:val="24"/>
                      <w:szCs w:val="24"/>
                      <w:lang w:val="en-GB"/>
                    </w:rPr>
                    <w:t xml:space="preserve">   </w:t>
                  </w:r>
                  <w:r w:rsidRPr="00CB78FC">
                    <w:rPr>
                      <w:color w:val="00B050"/>
                      <w:sz w:val="24"/>
                      <w:szCs w:val="24"/>
                      <w:lang w:val="en-GB"/>
                    </w:rPr>
                    <w:t>(+1.56%)</w:t>
                  </w:r>
                </w:p>
              </w:txbxContent>
            </v:textbox>
          </v:shape>
        </w:pict>
      </w:r>
      <w:r w:rsidR="00935525">
        <w:rPr>
          <w:szCs w:val="24"/>
          <w:lang w:val="en-GB"/>
        </w:rPr>
        <w:br/>
      </w:r>
      <w:r w:rsidR="00A90A86">
        <w:rPr>
          <w:szCs w:val="24"/>
          <w:lang w:val="en-GB"/>
        </w:rPr>
        <w:t>Magnification = 2x, the new data grows</w:t>
      </w:r>
      <w:r w:rsidR="00327790">
        <w:rPr>
          <w:szCs w:val="24"/>
          <w:lang w:val="en-GB"/>
        </w:rPr>
        <w:t xml:space="preserve"> (“Nasdaq value” achieves its full size, “Nasdaq change” is still growing)</w:t>
      </w:r>
    </w:p>
    <w:p w:rsidR="00A90A86" w:rsidRDefault="00A90A86" w:rsidP="00A90A86">
      <w:pPr>
        <w:pBdr>
          <w:bottom w:val="single" w:sz="6" w:space="1" w:color="auto"/>
        </w:pBdr>
        <w:rPr>
          <w:szCs w:val="24"/>
          <w:lang w:val="en-GB"/>
        </w:rPr>
      </w:pPr>
    </w:p>
    <w:p w:rsidR="00A90A86" w:rsidRDefault="000501BE" w:rsidP="00A90A86">
      <w:pPr>
        <w:pBdr>
          <w:bottom w:val="single" w:sz="6" w:space="1" w:color="auto"/>
        </w:pBdr>
        <w:rPr>
          <w:szCs w:val="24"/>
          <w:lang w:val="en-GB"/>
        </w:rPr>
      </w:pPr>
      <w:r>
        <w:rPr>
          <w:szCs w:val="24"/>
          <w:lang w:val="en-GB"/>
        </w:rPr>
        <w:br/>
      </w:r>
      <w:r w:rsidR="00A90A86">
        <w:rPr>
          <w:szCs w:val="24"/>
          <w:lang w:val="en-GB"/>
        </w:rPr>
        <w:t>Magnification = 2.5x, the new data grows</w:t>
      </w:r>
    </w:p>
    <w:p w:rsidR="00A90A86" w:rsidRDefault="0017697D" w:rsidP="00A90A86">
      <w:pPr>
        <w:pBdr>
          <w:bottom w:val="single" w:sz="6" w:space="1" w:color="auto"/>
        </w:pBdr>
        <w:rPr>
          <w:szCs w:val="24"/>
          <w:lang w:val="en-GB"/>
        </w:rPr>
      </w:pPr>
      <w:r>
        <w:rPr>
          <w:noProof/>
          <w:szCs w:val="24"/>
          <w:lang w:val="en-GB" w:eastAsia="en-GB"/>
        </w:rPr>
        <w:pict>
          <v:shape id="_x0000_s1051" type="#_x0000_t202" style="position:absolute;margin-left:.25pt;margin-top:4.8pt;width:237.75pt;height:20.75pt;z-index:251689984">
            <v:textbox>
              <w:txbxContent>
                <w:p w:rsidR="00A90A86" w:rsidRPr="00A90A86" w:rsidRDefault="00A90A86" w:rsidP="00A90A86">
                  <w:pPr>
                    <w:rPr>
                      <w:sz w:val="24"/>
                      <w:szCs w:val="24"/>
                      <w:lang w:val="en-GB"/>
                    </w:rPr>
                  </w:pPr>
                  <w:r w:rsidRPr="00A90A86">
                    <w:rPr>
                      <w:color w:val="0070C0"/>
                      <w:sz w:val="24"/>
                      <w:szCs w:val="24"/>
                      <w:lang w:val="en-GB"/>
                    </w:rPr>
                    <w:t>Nasdaq</w:t>
                  </w:r>
                  <w:r w:rsidRPr="00A90A86">
                    <w:rPr>
                      <w:color w:val="00B0F0"/>
                      <w:sz w:val="24"/>
                      <w:szCs w:val="24"/>
                      <w:lang w:val="en-GB"/>
                    </w:rPr>
                    <w:t xml:space="preserve"> </w:t>
                  </w:r>
                  <w:r w:rsidRPr="00A90A86">
                    <w:rPr>
                      <w:sz w:val="24"/>
                      <w:szCs w:val="24"/>
                      <w:lang w:val="en-GB"/>
                    </w:rPr>
                    <w:t xml:space="preserve">  2,348.56 </w:t>
                  </w:r>
                  <w:r>
                    <w:rPr>
                      <w:sz w:val="24"/>
                      <w:szCs w:val="24"/>
                      <w:lang w:val="en-GB"/>
                    </w:rPr>
                    <w:t xml:space="preserve">     </w:t>
                  </w:r>
                  <w:r w:rsidRPr="00A90A86">
                    <w:rPr>
                      <w:color w:val="00B050"/>
                      <w:sz w:val="24"/>
                      <w:szCs w:val="24"/>
                      <w:lang w:val="en-GB"/>
                    </w:rPr>
                    <w:t>+36.28</w:t>
                  </w:r>
                  <w:r w:rsidRPr="00A90A86">
                    <w:rPr>
                      <w:sz w:val="24"/>
                      <w:szCs w:val="24"/>
                      <w:lang w:val="en-GB"/>
                    </w:rPr>
                    <w:t xml:space="preserve">  </w:t>
                  </w:r>
                  <w:r>
                    <w:rPr>
                      <w:sz w:val="24"/>
                      <w:szCs w:val="24"/>
                      <w:lang w:val="en-GB"/>
                    </w:rPr>
                    <w:t xml:space="preserve">     </w:t>
                  </w:r>
                  <w:r w:rsidRPr="00A90A86">
                    <w:rPr>
                      <w:sz w:val="24"/>
                      <w:szCs w:val="24"/>
                      <w:lang w:val="en-GB"/>
                    </w:rPr>
                    <w:t xml:space="preserve"> </w:t>
                  </w:r>
                  <w:r w:rsidRPr="00A90A86">
                    <w:rPr>
                      <w:color w:val="00B050"/>
                      <w:sz w:val="24"/>
                      <w:szCs w:val="24"/>
                      <w:lang w:val="en-GB"/>
                    </w:rPr>
                    <w:t>(+1.56%)</w:t>
                  </w:r>
                </w:p>
              </w:txbxContent>
            </v:textbox>
          </v:shape>
        </w:pict>
      </w:r>
    </w:p>
    <w:p w:rsidR="00A90A86" w:rsidRDefault="00A90A86" w:rsidP="00A90A86">
      <w:pPr>
        <w:pBdr>
          <w:bottom w:val="single" w:sz="6" w:space="1" w:color="auto"/>
        </w:pBdr>
        <w:rPr>
          <w:szCs w:val="24"/>
          <w:lang w:val="en-GB"/>
        </w:rPr>
      </w:pPr>
    </w:p>
    <w:p w:rsidR="00551C79" w:rsidRDefault="00935525" w:rsidP="00A90A86">
      <w:pPr>
        <w:pBdr>
          <w:bottom w:val="single" w:sz="6" w:space="1" w:color="auto"/>
        </w:pBdr>
        <w:rPr>
          <w:szCs w:val="24"/>
          <w:lang w:val="en-GB"/>
        </w:rPr>
      </w:pPr>
      <w:r>
        <w:rPr>
          <w:szCs w:val="24"/>
          <w:lang w:val="en-GB"/>
        </w:rPr>
        <w:t xml:space="preserve">The conclusion is that </w:t>
      </w:r>
      <w:r w:rsidR="00942EA0">
        <w:rPr>
          <w:szCs w:val="24"/>
          <w:lang w:val="en-GB"/>
        </w:rPr>
        <w:t xml:space="preserve">with this method </w:t>
      </w:r>
      <w:r w:rsidR="000E2DD6">
        <w:rPr>
          <w:szCs w:val="24"/>
          <w:lang w:val="en-GB"/>
        </w:rPr>
        <w:t xml:space="preserve">there isn’t </w:t>
      </w:r>
      <w:r>
        <w:rPr>
          <w:szCs w:val="24"/>
          <w:lang w:val="en-GB"/>
        </w:rPr>
        <w:t>a clear distincti</w:t>
      </w:r>
      <w:r w:rsidR="00551C79">
        <w:rPr>
          <w:szCs w:val="24"/>
          <w:lang w:val="en-GB"/>
        </w:rPr>
        <w:t xml:space="preserve">on between LOD1, LOD2 and LOD3, because there is only one Level of Detail, and this Level of Detail contains every widget (just maybe the size of the widget is too small to be visible). So, there is only one LOD. </w:t>
      </w:r>
    </w:p>
    <w:p w:rsidR="00935525" w:rsidRDefault="00935525" w:rsidP="00A90A86">
      <w:pPr>
        <w:pBdr>
          <w:bottom w:val="single" w:sz="6" w:space="1" w:color="auto"/>
        </w:pBdr>
      </w:pPr>
      <w:r>
        <w:rPr>
          <w:szCs w:val="24"/>
          <w:lang w:val="en-GB"/>
        </w:rPr>
        <w:t xml:space="preserve">Every control should be programmed to be smart enough to find out their size and position. </w:t>
      </w:r>
      <w:r w:rsidR="00D3399B">
        <w:rPr>
          <w:szCs w:val="24"/>
          <w:lang w:val="en-GB"/>
        </w:rPr>
        <w:t xml:space="preserve">I called them Smart Zoomable Widgets. </w:t>
      </w:r>
      <w:r>
        <w:rPr>
          <w:szCs w:val="24"/>
          <w:lang w:val="en-GB"/>
        </w:rPr>
        <w:t xml:space="preserve">That should be programmed with </w:t>
      </w:r>
      <w:r>
        <w:rPr>
          <w:i/>
          <w:iCs/>
        </w:rPr>
        <w:t>meticulous</w:t>
      </w:r>
      <w:r>
        <w:t xml:space="preserve"> care</w:t>
      </w:r>
      <w:r w:rsidR="00A84AB2">
        <w:t>.</w:t>
      </w:r>
    </w:p>
    <w:p w:rsidR="00385D7D" w:rsidRDefault="00385D7D" w:rsidP="00A90A86">
      <w:pPr>
        <w:pBdr>
          <w:bottom w:val="single" w:sz="6" w:space="1" w:color="auto"/>
        </w:pBdr>
        <w:rPr>
          <w:szCs w:val="24"/>
          <w:lang w:val="en-GB"/>
        </w:rPr>
      </w:pPr>
      <w:r>
        <w:t>I made a demonstration program to show the concept.</w:t>
      </w:r>
    </w:p>
    <w:p w:rsidR="00A90A86" w:rsidRDefault="00A90A86" w:rsidP="00A90A86">
      <w:pPr>
        <w:pBdr>
          <w:bottom w:val="single" w:sz="6" w:space="1" w:color="auto"/>
        </w:pBdr>
        <w:rPr>
          <w:szCs w:val="24"/>
          <w:lang w:val="en-GB"/>
        </w:rPr>
      </w:pPr>
    </w:p>
    <w:p w:rsidR="00A90A86" w:rsidRDefault="00A90A86" w:rsidP="00A90A86">
      <w:pPr>
        <w:pBdr>
          <w:bottom w:val="single" w:sz="6" w:space="1" w:color="auto"/>
        </w:pBdr>
        <w:rPr>
          <w:szCs w:val="24"/>
          <w:lang w:val="en-GB"/>
        </w:rPr>
      </w:pPr>
    </w:p>
    <w:p w:rsidR="00A90A86" w:rsidRDefault="00A90A86" w:rsidP="00A90A86">
      <w:pPr>
        <w:pBdr>
          <w:bottom w:val="single" w:sz="6" w:space="1" w:color="auto"/>
        </w:pBdr>
        <w:rPr>
          <w:szCs w:val="24"/>
          <w:lang w:val="en-GB"/>
        </w:rPr>
      </w:pPr>
    </w:p>
    <w:p w:rsidR="00A90A86" w:rsidRDefault="00A90A86" w:rsidP="00A90A86">
      <w:pPr>
        <w:pBdr>
          <w:bottom w:val="single" w:sz="6" w:space="1" w:color="auto"/>
        </w:pBdr>
        <w:rPr>
          <w:szCs w:val="24"/>
          <w:lang w:val="en-GB"/>
        </w:rPr>
      </w:pPr>
    </w:p>
    <w:sectPr w:rsidR="00A90A86" w:rsidSect="0070135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D6C" w:rsidRDefault="00EE6D6C" w:rsidP="00E1654B">
      <w:pPr>
        <w:spacing w:after="0" w:line="240" w:lineRule="auto"/>
      </w:pPr>
      <w:r>
        <w:separator/>
      </w:r>
    </w:p>
  </w:endnote>
  <w:endnote w:type="continuationSeparator" w:id="1">
    <w:p w:rsidR="00EE6D6C" w:rsidRDefault="00EE6D6C" w:rsidP="00E16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54B" w:rsidRDefault="00B11313">
    <w:pPr>
      <w:pStyle w:val="Footer"/>
    </w:pPr>
    <w:r w:rsidRPr="004F0B03">
      <w:rPr>
        <w:noProof/>
      </w:rPr>
      <w:pict>
        <v:group id="_x0000_s11272" style="position:absolute;margin-left:0;margin-top:0;width:532.9pt;height:53pt;z-index:251660288;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11273" type="#_x0000_t32" style="position:absolute;left:15;top:14415;width:10171;height:1057" o:connectortype="straight" strokecolor="#a7bfde [1620]"/>
          <v:oval id="_x0000_s11274" style="position:absolute;left:9657;top:14459;width:1016;height:1016" fillcolor="#a7bfde [1620]" stroked="f"/>
          <v:oval id="_x0000_s11275" style="position:absolute;left:9733;top:14568;width:908;height:904" fillcolor="#d3dfee [820]" stroked="f"/>
          <v:oval id="_x0000_s11276" style="position:absolute;left:9802;top:14688;width:783;height:784;v-text-anchor:middle" fillcolor="#7ba0cd [2420]" stroked="f">
            <v:textbox style="mso-next-textbox:#_x0000_s11276">
              <w:txbxContent>
                <w:p w:rsidR="00B11313" w:rsidRDefault="00B11313">
                  <w:pPr>
                    <w:pStyle w:val="Header"/>
                    <w:jc w:val="center"/>
                    <w:rPr>
                      <w:color w:val="FFFFFF" w:themeColor="background1"/>
                    </w:rPr>
                  </w:pPr>
                  <w:fldSimple w:instr=" PAGE   \* MERGEFORMAT ">
                    <w:r w:rsidRPr="00B11313">
                      <w:rPr>
                        <w:noProof/>
                        <w:color w:val="FFFFFF" w:themeColor="background1"/>
                      </w:rPr>
                      <w:t>2</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D6C" w:rsidRDefault="00EE6D6C" w:rsidP="00E1654B">
      <w:pPr>
        <w:spacing w:after="0" w:line="240" w:lineRule="auto"/>
      </w:pPr>
      <w:r>
        <w:separator/>
      </w:r>
    </w:p>
  </w:footnote>
  <w:footnote w:type="continuationSeparator" w:id="1">
    <w:p w:rsidR="00EE6D6C" w:rsidRDefault="00EE6D6C" w:rsidP="00E1654B">
      <w:pPr>
        <w:spacing w:after="0" w:line="240" w:lineRule="auto"/>
      </w:pPr>
      <w:r>
        <w:continuationSeparator/>
      </w:r>
    </w:p>
  </w:footnote>
  <w:footnote w:id="2">
    <w:p w:rsidR="00B11313" w:rsidRPr="00B11313" w:rsidRDefault="00B11313">
      <w:pPr>
        <w:pStyle w:val="FootnoteText"/>
        <w:rPr>
          <w:lang w:val="en-GB"/>
        </w:rPr>
      </w:pPr>
      <w:r>
        <w:rPr>
          <w:rStyle w:val="FootnoteReference"/>
        </w:rPr>
        <w:footnoteRef/>
      </w:r>
      <w:r>
        <w:t xml:space="preserve"> </w:t>
      </w:r>
      <w:r>
        <w:rPr>
          <w:lang w:val="en-GB"/>
        </w:rPr>
        <w:t>Widget: any UI element like Label, TextBox, Image, Button or any other Control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46BED"/>
    <w:multiLevelType w:val="multilevel"/>
    <w:tmpl w:val="51E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B272B"/>
    <w:multiLevelType w:val="hybridMultilevel"/>
    <w:tmpl w:val="B1521F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455D48"/>
    <w:multiLevelType w:val="hybridMultilevel"/>
    <w:tmpl w:val="F6C82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4B0AB1"/>
    <w:multiLevelType w:val="multilevel"/>
    <w:tmpl w:val="9018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1394D"/>
    <w:multiLevelType w:val="hybridMultilevel"/>
    <w:tmpl w:val="D67AB094"/>
    <w:lvl w:ilvl="0" w:tplc="2986602C">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752250"/>
    <w:multiLevelType w:val="multilevel"/>
    <w:tmpl w:val="410C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C84D50"/>
    <w:multiLevelType w:val="hybridMultilevel"/>
    <w:tmpl w:val="64C413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D4912"/>
    <w:multiLevelType w:val="multilevel"/>
    <w:tmpl w:val="F7FC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characterSpacingControl w:val="doNotCompress"/>
  <w:hdrShapeDefaults>
    <o:shapedefaults v:ext="edit" spidmax="22530"/>
    <o:shapelayout v:ext="edit">
      <o:idmap v:ext="edit" data="11"/>
      <o:rules v:ext="edit">
        <o:r id="V:Rule2" type="connector" idref="#_x0000_s11273"/>
      </o:rules>
    </o:shapelayout>
  </w:hdrShapeDefaults>
  <w:footnotePr>
    <w:footnote w:id="0"/>
    <w:footnote w:id="1"/>
  </w:footnotePr>
  <w:endnotePr>
    <w:endnote w:id="0"/>
    <w:endnote w:id="1"/>
  </w:endnotePr>
  <w:compat/>
  <w:rsids>
    <w:rsidRoot w:val="007A64BB"/>
    <w:rsid w:val="000073F8"/>
    <w:rsid w:val="00017AEC"/>
    <w:rsid w:val="00020216"/>
    <w:rsid w:val="000225C7"/>
    <w:rsid w:val="000313CF"/>
    <w:rsid w:val="00043088"/>
    <w:rsid w:val="000501BE"/>
    <w:rsid w:val="000552A5"/>
    <w:rsid w:val="0006275C"/>
    <w:rsid w:val="00066000"/>
    <w:rsid w:val="00066EE9"/>
    <w:rsid w:val="000708A5"/>
    <w:rsid w:val="000D710F"/>
    <w:rsid w:val="000E2DD6"/>
    <w:rsid w:val="000F2956"/>
    <w:rsid w:val="00102D13"/>
    <w:rsid w:val="00113A0C"/>
    <w:rsid w:val="001155FB"/>
    <w:rsid w:val="00123EE5"/>
    <w:rsid w:val="00134E86"/>
    <w:rsid w:val="001455B6"/>
    <w:rsid w:val="00147034"/>
    <w:rsid w:val="00157495"/>
    <w:rsid w:val="00161FC3"/>
    <w:rsid w:val="0017697D"/>
    <w:rsid w:val="001816F4"/>
    <w:rsid w:val="001840B0"/>
    <w:rsid w:val="00185762"/>
    <w:rsid w:val="001878FC"/>
    <w:rsid w:val="0019321E"/>
    <w:rsid w:val="001A702D"/>
    <w:rsid w:val="001C499C"/>
    <w:rsid w:val="001C7018"/>
    <w:rsid w:val="001D190C"/>
    <w:rsid w:val="001E6AC7"/>
    <w:rsid w:val="001F728D"/>
    <w:rsid w:val="00211A26"/>
    <w:rsid w:val="00226801"/>
    <w:rsid w:val="00227CE6"/>
    <w:rsid w:val="00231220"/>
    <w:rsid w:val="00240EB2"/>
    <w:rsid w:val="00250351"/>
    <w:rsid w:val="002568A1"/>
    <w:rsid w:val="00267FA4"/>
    <w:rsid w:val="0027152F"/>
    <w:rsid w:val="00277275"/>
    <w:rsid w:val="00277E14"/>
    <w:rsid w:val="002A05CA"/>
    <w:rsid w:val="002A1075"/>
    <w:rsid w:val="002D3D49"/>
    <w:rsid w:val="002F3507"/>
    <w:rsid w:val="00327790"/>
    <w:rsid w:val="003375A8"/>
    <w:rsid w:val="00351E83"/>
    <w:rsid w:val="0036247B"/>
    <w:rsid w:val="003671C7"/>
    <w:rsid w:val="00385D7D"/>
    <w:rsid w:val="003A23C2"/>
    <w:rsid w:val="003A5A4E"/>
    <w:rsid w:val="003A5DB0"/>
    <w:rsid w:val="003C43E5"/>
    <w:rsid w:val="003D39ED"/>
    <w:rsid w:val="003D59F2"/>
    <w:rsid w:val="003E13FE"/>
    <w:rsid w:val="003E518B"/>
    <w:rsid w:val="00417C38"/>
    <w:rsid w:val="00433322"/>
    <w:rsid w:val="00443D9F"/>
    <w:rsid w:val="004458C6"/>
    <w:rsid w:val="00472E55"/>
    <w:rsid w:val="004868FA"/>
    <w:rsid w:val="0049653C"/>
    <w:rsid w:val="004E0BF8"/>
    <w:rsid w:val="004E7F73"/>
    <w:rsid w:val="00541B78"/>
    <w:rsid w:val="005477F2"/>
    <w:rsid w:val="00551C79"/>
    <w:rsid w:val="00564E22"/>
    <w:rsid w:val="00584682"/>
    <w:rsid w:val="005A0758"/>
    <w:rsid w:val="005B7AED"/>
    <w:rsid w:val="005C23E2"/>
    <w:rsid w:val="005C49F8"/>
    <w:rsid w:val="005C69CE"/>
    <w:rsid w:val="005D5E98"/>
    <w:rsid w:val="005F2347"/>
    <w:rsid w:val="005F751A"/>
    <w:rsid w:val="00615DDD"/>
    <w:rsid w:val="00621BAE"/>
    <w:rsid w:val="006729E9"/>
    <w:rsid w:val="00680076"/>
    <w:rsid w:val="006831D0"/>
    <w:rsid w:val="00690C3E"/>
    <w:rsid w:val="006947E7"/>
    <w:rsid w:val="006954CC"/>
    <w:rsid w:val="006B7737"/>
    <w:rsid w:val="006C2A4E"/>
    <w:rsid w:val="006C7BE9"/>
    <w:rsid w:val="006D63E6"/>
    <w:rsid w:val="006E2073"/>
    <w:rsid w:val="0070113A"/>
    <w:rsid w:val="00701356"/>
    <w:rsid w:val="00702B19"/>
    <w:rsid w:val="0071278F"/>
    <w:rsid w:val="0071691C"/>
    <w:rsid w:val="00726A8B"/>
    <w:rsid w:val="00734C5F"/>
    <w:rsid w:val="007433CB"/>
    <w:rsid w:val="00744636"/>
    <w:rsid w:val="007478E1"/>
    <w:rsid w:val="007531E1"/>
    <w:rsid w:val="00755672"/>
    <w:rsid w:val="0075703B"/>
    <w:rsid w:val="0076275E"/>
    <w:rsid w:val="00763392"/>
    <w:rsid w:val="00764FA6"/>
    <w:rsid w:val="007703DA"/>
    <w:rsid w:val="00772AB7"/>
    <w:rsid w:val="00784400"/>
    <w:rsid w:val="00786D44"/>
    <w:rsid w:val="007953EE"/>
    <w:rsid w:val="00795E2E"/>
    <w:rsid w:val="007A64BB"/>
    <w:rsid w:val="007B68CC"/>
    <w:rsid w:val="007C21D8"/>
    <w:rsid w:val="007D0D8E"/>
    <w:rsid w:val="007D3B30"/>
    <w:rsid w:val="007F7F68"/>
    <w:rsid w:val="008220E0"/>
    <w:rsid w:val="0083356D"/>
    <w:rsid w:val="008336B6"/>
    <w:rsid w:val="00842347"/>
    <w:rsid w:val="008445C0"/>
    <w:rsid w:val="0084467B"/>
    <w:rsid w:val="00845F20"/>
    <w:rsid w:val="008473EC"/>
    <w:rsid w:val="0085286E"/>
    <w:rsid w:val="00861DB8"/>
    <w:rsid w:val="00871EC2"/>
    <w:rsid w:val="00872ECD"/>
    <w:rsid w:val="00884734"/>
    <w:rsid w:val="008B0FB4"/>
    <w:rsid w:val="008B25DD"/>
    <w:rsid w:val="008D0F3F"/>
    <w:rsid w:val="008E2F6D"/>
    <w:rsid w:val="008E7DC2"/>
    <w:rsid w:val="008F2842"/>
    <w:rsid w:val="00917508"/>
    <w:rsid w:val="00925CA0"/>
    <w:rsid w:val="00935525"/>
    <w:rsid w:val="00942EA0"/>
    <w:rsid w:val="009532B3"/>
    <w:rsid w:val="00966565"/>
    <w:rsid w:val="009943F2"/>
    <w:rsid w:val="009A3DB7"/>
    <w:rsid w:val="009A7280"/>
    <w:rsid w:val="009B2DCF"/>
    <w:rsid w:val="009C4AF4"/>
    <w:rsid w:val="009D21F7"/>
    <w:rsid w:val="009D5AB6"/>
    <w:rsid w:val="009E2AD4"/>
    <w:rsid w:val="009E61DC"/>
    <w:rsid w:val="009F50F7"/>
    <w:rsid w:val="009F78E2"/>
    <w:rsid w:val="00A55BA2"/>
    <w:rsid w:val="00A72C47"/>
    <w:rsid w:val="00A84AB2"/>
    <w:rsid w:val="00A85D52"/>
    <w:rsid w:val="00A87735"/>
    <w:rsid w:val="00A87775"/>
    <w:rsid w:val="00A90A86"/>
    <w:rsid w:val="00A92A4D"/>
    <w:rsid w:val="00AA3A68"/>
    <w:rsid w:val="00AA41FE"/>
    <w:rsid w:val="00AC35ED"/>
    <w:rsid w:val="00AD0445"/>
    <w:rsid w:val="00AE0FE0"/>
    <w:rsid w:val="00AF1145"/>
    <w:rsid w:val="00B03182"/>
    <w:rsid w:val="00B050FB"/>
    <w:rsid w:val="00B11313"/>
    <w:rsid w:val="00B13C9B"/>
    <w:rsid w:val="00B1578C"/>
    <w:rsid w:val="00B26704"/>
    <w:rsid w:val="00B30A43"/>
    <w:rsid w:val="00B315BC"/>
    <w:rsid w:val="00B3753D"/>
    <w:rsid w:val="00B450DC"/>
    <w:rsid w:val="00B52A9F"/>
    <w:rsid w:val="00B65BEA"/>
    <w:rsid w:val="00B66ECB"/>
    <w:rsid w:val="00B706E2"/>
    <w:rsid w:val="00B771A7"/>
    <w:rsid w:val="00BA5A62"/>
    <w:rsid w:val="00BB3317"/>
    <w:rsid w:val="00BC599D"/>
    <w:rsid w:val="00BD6459"/>
    <w:rsid w:val="00BD75B8"/>
    <w:rsid w:val="00BF21D5"/>
    <w:rsid w:val="00C04C8A"/>
    <w:rsid w:val="00C12B12"/>
    <w:rsid w:val="00C227B7"/>
    <w:rsid w:val="00C238C2"/>
    <w:rsid w:val="00C30475"/>
    <w:rsid w:val="00C33B80"/>
    <w:rsid w:val="00C5473D"/>
    <w:rsid w:val="00C5750F"/>
    <w:rsid w:val="00C642FE"/>
    <w:rsid w:val="00C842C6"/>
    <w:rsid w:val="00CB0DA1"/>
    <w:rsid w:val="00CB19F6"/>
    <w:rsid w:val="00CB78FC"/>
    <w:rsid w:val="00CC189A"/>
    <w:rsid w:val="00CC4B72"/>
    <w:rsid w:val="00CC65D8"/>
    <w:rsid w:val="00CD4AC9"/>
    <w:rsid w:val="00CD7C57"/>
    <w:rsid w:val="00CF0C81"/>
    <w:rsid w:val="00CF2358"/>
    <w:rsid w:val="00CF39AB"/>
    <w:rsid w:val="00D2300D"/>
    <w:rsid w:val="00D25256"/>
    <w:rsid w:val="00D3399B"/>
    <w:rsid w:val="00D34E7B"/>
    <w:rsid w:val="00D37013"/>
    <w:rsid w:val="00D45812"/>
    <w:rsid w:val="00D51312"/>
    <w:rsid w:val="00D6205F"/>
    <w:rsid w:val="00D80499"/>
    <w:rsid w:val="00D91CF5"/>
    <w:rsid w:val="00D943F1"/>
    <w:rsid w:val="00D9740E"/>
    <w:rsid w:val="00DA2EB8"/>
    <w:rsid w:val="00DA6A9E"/>
    <w:rsid w:val="00DA7598"/>
    <w:rsid w:val="00DB2CEF"/>
    <w:rsid w:val="00DC74D7"/>
    <w:rsid w:val="00DE145A"/>
    <w:rsid w:val="00DF1B15"/>
    <w:rsid w:val="00E120DD"/>
    <w:rsid w:val="00E120E5"/>
    <w:rsid w:val="00E1654B"/>
    <w:rsid w:val="00E16937"/>
    <w:rsid w:val="00E21F8D"/>
    <w:rsid w:val="00E331BD"/>
    <w:rsid w:val="00E41CC5"/>
    <w:rsid w:val="00E42484"/>
    <w:rsid w:val="00E42A94"/>
    <w:rsid w:val="00E54C87"/>
    <w:rsid w:val="00E55B3C"/>
    <w:rsid w:val="00E628C1"/>
    <w:rsid w:val="00EC0E9D"/>
    <w:rsid w:val="00EC3509"/>
    <w:rsid w:val="00EC53E9"/>
    <w:rsid w:val="00EC6622"/>
    <w:rsid w:val="00ED2E68"/>
    <w:rsid w:val="00EE6D6C"/>
    <w:rsid w:val="00EF278B"/>
    <w:rsid w:val="00F12CCF"/>
    <w:rsid w:val="00F2054C"/>
    <w:rsid w:val="00F45BD8"/>
    <w:rsid w:val="00F64207"/>
    <w:rsid w:val="00F75AD7"/>
    <w:rsid w:val="00F97AE1"/>
    <w:rsid w:val="00FD2ECE"/>
    <w:rsid w:val="00FD7832"/>
    <w:rsid w:val="00FE0AE6"/>
    <w:rsid w:val="00FF0089"/>
    <w:rsid w:val="00FF65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56"/>
  </w:style>
  <w:style w:type="paragraph" w:styleId="Heading1">
    <w:name w:val="heading 1"/>
    <w:basedOn w:val="Normal"/>
    <w:link w:val="Heading1Char"/>
    <w:uiPriority w:val="9"/>
    <w:qFormat/>
    <w:rsid w:val="00066E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84682"/>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584682"/>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68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ied">
    <w:name w:val="justified"/>
    <w:basedOn w:val="Normal"/>
    <w:rsid w:val="0068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ubmenu">
    <w:name w:val="pagesubmenu"/>
    <w:basedOn w:val="Normal"/>
    <w:rsid w:val="006831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31D0"/>
    <w:rPr>
      <w:color w:val="0000FF"/>
      <w:u w:val="single"/>
    </w:rPr>
  </w:style>
  <w:style w:type="paragraph" w:styleId="BalloonText">
    <w:name w:val="Balloon Text"/>
    <w:basedOn w:val="Normal"/>
    <w:link w:val="BalloonTextChar"/>
    <w:uiPriority w:val="99"/>
    <w:semiHidden/>
    <w:unhideWhenUsed/>
    <w:rsid w:val="00683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1D0"/>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795E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95E2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95E2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95E2E"/>
    <w:rPr>
      <w:rFonts w:ascii="Arial" w:eastAsia="Times New Roman" w:hAnsi="Arial" w:cs="Arial"/>
      <w:vanish/>
      <w:sz w:val="16"/>
      <w:szCs w:val="16"/>
    </w:rPr>
  </w:style>
  <w:style w:type="paragraph" w:styleId="ListParagraph">
    <w:name w:val="List Paragraph"/>
    <w:basedOn w:val="Normal"/>
    <w:uiPriority w:val="34"/>
    <w:qFormat/>
    <w:rsid w:val="00B1578C"/>
    <w:pPr>
      <w:ind w:left="720"/>
      <w:contextualSpacing/>
    </w:pPr>
  </w:style>
  <w:style w:type="character" w:customStyle="1" w:styleId="Heading1Char">
    <w:name w:val="Heading 1 Char"/>
    <w:basedOn w:val="DefaultParagraphFont"/>
    <w:link w:val="Heading1"/>
    <w:uiPriority w:val="9"/>
    <w:rsid w:val="00066EE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66EE9"/>
    <w:rPr>
      <w:b/>
      <w:bCs/>
    </w:rPr>
  </w:style>
  <w:style w:type="character" w:customStyle="1" w:styleId="hw">
    <w:name w:val="hw"/>
    <w:basedOn w:val="DefaultParagraphFont"/>
    <w:rsid w:val="00066EE9"/>
  </w:style>
  <w:style w:type="character" w:customStyle="1" w:styleId="content">
    <w:name w:val="content"/>
    <w:basedOn w:val="DefaultParagraphFont"/>
    <w:rsid w:val="00066EE9"/>
  </w:style>
  <w:style w:type="character" w:customStyle="1" w:styleId="Heading2Char">
    <w:name w:val="Heading 2 Char"/>
    <w:basedOn w:val="DefaultParagraphFont"/>
    <w:link w:val="Heading2"/>
    <w:uiPriority w:val="9"/>
    <w:rsid w:val="00584682"/>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584682"/>
    <w:rPr>
      <w:rFonts w:asciiTheme="majorHAnsi" w:eastAsiaTheme="majorEastAsia" w:hAnsiTheme="majorHAnsi" w:cstheme="majorBidi"/>
      <w:b/>
      <w:bCs/>
      <w:color w:val="4F81BD" w:themeColor="accent1"/>
      <w:sz w:val="28"/>
    </w:rPr>
  </w:style>
  <w:style w:type="paragraph" w:styleId="Header">
    <w:name w:val="header"/>
    <w:basedOn w:val="Normal"/>
    <w:link w:val="HeaderChar"/>
    <w:uiPriority w:val="99"/>
    <w:unhideWhenUsed/>
    <w:rsid w:val="00E16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54B"/>
  </w:style>
  <w:style w:type="paragraph" w:styleId="Footer">
    <w:name w:val="footer"/>
    <w:basedOn w:val="Normal"/>
    <w:link w:val="FooterChar"/>
    <w:uiPriority w:val="99"/>
    <w:unhideWhenUsed/>
    <w:rsid w:val="00E16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54B"/>
  </w:style>
  <w:style w:type="paragraph" w:styleId="TOCHeading">
    <w:name w:val="TOC Heading"/>
    <w:basedOn w:val="Heading1"/>
    <w:next w:val="Normal"/>
    <w:uiPriority w:val="39"/>
    <w:semiHidden/>
    <w:unhideWhenUsed/>
    <w:qFormat/>
    <w:rsid w:val="006D63E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6D63E6"/>
    <w:pPr>
      <w:spacing w:after="100"/>
    </w:pPr>
  </w:style>
  <w:style w:type="paragraph" w:styleId="TOC2">
    <w:name w:val="toc 2"/>
    <w:basedOn w:val="Normal"/>
    <w:next w:val="Normal"/>
    <w:autoRedefine/>
    <w:uiPriority w:val="39"/>
    <w:unhideWhenUsed/>
    <w:qFormat/>
    <w:rsid w:val="006D63E6"/>
    <w:pPr>
      <w:spacing w:after="100"/>
      <w:ind w:left="220"/>
    </w:pPr>
  </w:style>
  <w:style w:type="paragraph" w:styleId="TOC3">
    <w:name w:val="toc 3"/>
    <w:basedOn w:val="Normal"/>
    <w:next w:val="Normal"/>
    <w:autoRedefine/>
    <w:uiPriority w:val="39"/>
    <w:unhideWhenUsed/>
    <w:qFormat/>
    <w:rsid w:val="006D63E6"/>
    <w:pPr>
      <w:spacing w:after="100"/>
      <w:ind w:left="440"/>
    </w:pPr>
  </w:style>
  <w:style w:type="paragraph" w:styleId="Revision">
    <w:name w:val="Revision"/>
    <w:hidden/>
    <w:uiPriority w:val="99"/>
    <w:semiHidden/>
    <w:rsid w:val="00BA5A62"/>
    <w:pPr>
      <w:spacing w:after="0" w:line="240" w:lineRule="auto"/>
    </w:pPr>
  </w:style>
  <w:style w:type="paragraph" w:styleId="FootnoteText">
    <w:name w:val="footnote text"/>
    <w:basedOn w:val="Normal"/>
    <w:link w:val="FootnoteTextChar"/>
    <w:uiPriority w:val="99"/>
    <w:semiHidden/>
    <w:unhideWhenUsed/>
    <w:rsid w:val="00B11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313"/>
    <w:rPr>
      <w:sz w:val="20"/>
      <w:szCs w:val="20"/>
    </w:rPr>
  </w:style>
  <w:style w:type="character" w:styleId="FootnoteReference">
    <w:name w:val="footnote reference"/>
    <w:basedOn w:val="DefaultParagraphFont"/>
    <w:uiPriority w:val="99"/>
    <w:semiHidden/>
    <w:unhideWhenUsed/>
    <w:rsid w:val="00B11313"/>
    <w:rPr>
      <w:vertAlign w:val="superscript"/>
    </w:rPr>
  </w:style>
</w:styles>
</file>

<file path=word/webSettings.xml><?xml version="1.0" encoding="utf-8"?>
<w:webSettings xmlns:r="http://schemas.openxmlformats.org/officeDocument/2006/relationships" xmlns:w="http://schemas.openxmlformats.org/wordprocessingml/2006/main">
  <w:divs>
    <w:div w:id="106971360">
      <w:bodyDiv w:val="1"/>
      <w:marLeft w:val="0"/>
      <w:marRight w:val="0"/>
      <w:marTop w:val="0"/>
      <w:marBottom w:val="0"/>
      <w:divBdr>
        <w:top w:val="none" w:sz="0" w:space="0" w:color="auto"/>
        <w:left w:val="none" w:sz="0" w:space="0" w:color="auto"/>
        <w:bottom w:val="none" w:sz="0" w:space="0" w:color="auto"/>
        <w:right w:val="none" w:sz="0" w:space="0" w:color="auto"/>
      </w:divBdr>
    </w:div>
    <w:div w:id="119422696">
      <w:bodyDiv w:val="1"/>
      <w:marLeft w:val="0"/>
      <w:marRight w:val="0"/>
      <w:marTop w:val="0"/>
      <w:marBottom w:val="0"/>
      <w:divBdr>
        <w:top w:val="none" w:sz="0" w:space="0" w:color="auto"/>
        <w:left w:val="none" w:sz="0" w:space="0" w:color="auto"/>
        <w:bottom w:val="none" w:sz="0" w:space="0" w:color="auto"/>
        <w:right w:val="none" w:sz="0" w:space="0" w:color="auto"/>
      </w:divBdr>
    </w:div>
    <w:div w:id="532622480">
      <w:bodyDiv w:val="1"/>
      <w:marLeft w:val="0"/>
      <w:marRight w:val="0"/>
      <w:marTop w:val="0"/>
      <w:marBottom w:val="0"/>
      <w:divBdr>
        <w:top w:val="none" w:sz="0" w:space="0" w:color="auto"/>
        <w:left w:val="none" w:sz="0" w:space="0" w:color="auto"/>
        <w:bottom w:val="none" w:sz="0" w:space="0" w:color="auto"/>
        <w:right w:val="none" w:sz="0" w:space="0" w:color="auto"/>
      </w:divBdr>
      <w:divsChild>
        <w:div w:id="1735351077">
          <w:marLeft w:val="0"/>
          <w:marRight w:val="0"/>
          <w:marTop w:val="0"/>
          <w:marBottom w:val="0"/>
          <w:divBdr>
            <w:top w:val="none" w:sz="0" w:space="0" w:color="auto"/>
            <w:left w:val="none" w:sz="0" w:space="0" w:color="auto"/>
            <w:bottom w:val="none" w:sz="0" w:space="0" w:color="auto"/>
            <w:right w:val="none" w:sz="0" w:space="0" w:color="auto"/>
          </w:divBdr>
        </w:div>
        <w:div w:id="1041514638">
          <w:marLeft w:val="0"/>
          <w:marRight w:val="0"/>
          <w:marTop w:val="0"/>
          <w:marBottom w:val="0"/>
          <w:divBdr>
            <w:top w:val="none" w:sz="0" w:space="0" w:color="auto"/>
            <w:left w:val="none" w:sz="0" w:space="0" w:color="auto"/>
            <w:bottom w:val="none" w:sz="0" w:space="0" w:color="auto"/>
            <w:right w:val="none" w:sz="0" w:space="0" w:color="auto"/>
          </w:divBdr>
        </w:div>
      </w:divsChild>
    </w:div>
    <w:div w:id="654454369">
      <w:bodyDiv w:val="1"/>
      <w:marLeft w:val="0"/>
      <w:marRight w:val="0"/>
      <w:marTop w:val="0"/>
      <w:marBottom w:val="0"/>
      <w:divBdr>
        <w:top w:val="none" w:sz="0" w:space="0" w:color="auto"/>
        <w:left w:val="none" w:sz="0" w:space="0" w:color="auto"/>
        <w:bottom w:val="none" w:sz="0" w:space="0" w:color="auto"/>
        <w:right w:val="none" w:sz="0" w:space="0" w:color="auto"/>
      </w:divBdr>
    </w:div>
    <w:div w:id="916403750">
      <w:bodyDiv w:val="1"/>
      <w:marLeft w:val="0"/>
      <w:marRight w:val="0"/>
      <w:marTop w:val="0"/>
      <w:marBottom w:val="0"/>
      <w:divBdr>
        <w:top w:val="none" w:sz="0" w:space="0" w:color="auto"/>
        <w:left w:val="none" w:sz="0" w:space="0" w:color="auto"/>
        <w:bottom w:val="none" w:sz="0" w:space="0" w:color="auto"/>
        <w:right w:val="none" w:sz="0" w:space="0" w:color="auto"/>
      </w:divBdr>
    </w:div>
    <w:div w:id="1235317895">
      <w:bodyDiv w:val="1"/>
      <w:marLeft w:val="0"/>
      <w:marRight w:val="0"/>
      <w:marTop w:val="0"/>
      <w:marBottom w:val="0"/>
      <w:divBdr>
        <w:top w:val="none" w:sz="0" w:space="0" w:color="auto"/>
        <w:left w:val="none" w:sz="0" w:space="0" w:color="auto"/>
        <w:bottom w:val="none" w:sz="0" w:space="0" w:color="auto"/>
        <w:right w:val="none" w:sz="0" w:space="0" w:color="auto"/>
      </w:divBdr>
    </w:div>
    <w:div w:id="1556547748">
      <w:bodyDiv w:val="1"/>
      <w:marLeft w:val="0"/>
      <w:marRight w:val="0"/>
      <w:marTop w:val="0"/>
      <w:marBottom w:val="0"/>
      <w:divBdr>
        <w:top w:val="none" w:sz="0" w:space="0" w:color="auto"/>
        <w:left w:val="none" w:sz="0" w:space="0" w:color="auto"/>
        <w:bottom w:val="none" w:sz="0" w:space="0" w:color="auto"/>
        <w:right w:val="none" w:sz="0" w:space="0" w:color="auto"/>
      </w:divBdr>
    </w:div>
    <w:div w:id="1903828689">
      <w:bodyDiv w:val="1"/>
      <w:marLeft w:val="0"/>
      <w:marRight w:val="0"/>
      <w:marTop w:val="0"/>
      <w:marBottom w:val="0"/>
      <w:divBdr>
        <w:top w:val="none" w:sz="0" w:space="0" w:color="auto"/>
        <w:left w:val="none" w:sz="0" w:space="0" w:color="auto"/>
        <w:bottom w:val="none" w:sz="0" w:space="0" w:color="auto"/>
        <w:right w:val="none" w:sz="0" w:space="0" w:color="auto"/>
      </w:divBdr>
    </w:div>
    <w:div w:id="2002653374">
      <w:bodyDiv w:val="1"/>
      <w:marLeft w:val="0"/>
      <w:marRight w:val="0"/>
      <w:marTop w:val="0"/>
      <w:marBottom w:val="0"/>
      <w:divBdr>
        <w:top w:val="none" w:sz="0" w:space="0" w:color="auto"/>
        <w:left w:val="none" w:sz="0" w:space="0" w:color="auto"/>
        <w:bottom w:val="none" w:sz="0" w:space="0" w:color="auto"/>
        <w:right w:val="none" w:sz="0" w:space="0" w:color="auto"/>
      </w:divBdr>
    </w:div>
    <w:div w:id="2093702548">
      <w:bodyDiv w:val="1"/>
      <w:marLeft w:val="0"/>
      <w:marRight w:val="0"/>
      <w:marTop w:val="0"/>
      <w:marBottom w:val="0"/>
      <w:divBdr>
        <w:top w:val="none" w:sz="0" w:space="0" w:color="auto"/>
        <w:left w:val="none" w:sz="0" w:space="0" w:color="auto"/>
        <w:bottom w:val="none" w:sz="0" w:space="0" w:color="auto"/>
        <w:right w:val="none" w:sz="0" w:space="0" w:color="auto"/>
      </w:divBdr>
      <w:divsChild>
        <w:div w:id="1685596868">
          <w:marLeft w:val="0"/>
          <w:marRight w:val="0"/>
          <w:marTop w:val="0"/>
          <w:marBottom w:val="0"/>
          <w:divBdr>
            <w:top w:val="none" w:sz="0" w:space="0" w:color="auto"/>
            <w:left w:val="none" w:sz="0" w:space="0" w:color="auto"/>
            <w:bottom w:val="none" w:sz="0" w:space="0" w:color="auto"/>
            <w:right w:val="none" w:sz="0" w:space="0" w:color="auto"/>
          </w:divBdr>
        </w:div>
        <w:div w:id="713164349">
          <w:marLeft w:val="0"/>
          <w:marRight w:val="0"/>
          <w:marTop w:val="0"/>
          <w:marBottom w:val="0"/>
          <w:divBdr>
            <w:top w:val="none" w:sz="0" w:space="0" w:color="auto"/>
            <w:left w:val="none" w:sz="0" w:space="0" w:color="auto"/>
            <w:bottom w:val="none" w:sz="0" w:space="0" w:color="auto"/>
            <w:right w:val="none" w:sz="0" w:space="0" w:color="auto"/>
          </w:divBdr>
        </w:div>
        <w:div w:id="1424690158">
          <w:marLeft w:val="0"/>
          <w:marRight w:val="0"/>
          <w:marTop w:val="0"/>
          <w:marBottom w:val="0"/>
          <w:divBdr>
            <w:top w:val="none" w:sz="0" w:space="0" w:color="auto"/>
            <w:left w:val="none" w:sz="0" w:space="0" w:color="auto"/>
            <w:bottom w:val="none" w:sz="0" w:space="0" w:color="auto"/>
            <w:right w:val="none" w:sz="0" w:space="0" w:color="auto"/>
          </w:divBdr>
        </w:div>
        <w:div w:id="856818470">
          <w:marLeft w:val="0"/>
          <w:marRight w:val="0"/>
          <w:marTop w:val="0"/>
          <w:marBottom w:val="0"/>
          <w:divBdr>
            <w:top w:val="none" w:sz="0" w:space="0" w:color="auto"/>
            <w:left w:val="none" w:sz="0" w:space="0" w:color="auto"/>
            <w:bottom w:val="none" w:sz="0" w:space="0" w:color="auto"/>
            <w:right w:val="none" w:sz="0" w:space="0" w:color="auto"/>
          </w:divBdr>
        </w:div>
        <w:div w:id="1168327387">
          <w:marLeft w:val="0"/>
          <w:marRight w:val="0"/>
          <w:marTop w:val="0"/>
          <w:marBottom w:val="0"/>
          <w:divBdr>
            <w:top w:val="none" w:sz="0" w:space="0" w:color="auto"/>
            <w:left w:val="none" w:sz="0" w:space="0" w:color="auto"/>
            <w:bottom w:val="none" w:sz="0" w:space="0" w:color="auto"/>
            <w:right w:val="none" w:sz="0" w:space="0" w:color="auto"/>
          </w:divBdr>
        </w:div>
        <w:div w:id="1667706505">
          <w:marLeft w:val="0"/>
          <w:marRight w:val="0"/>
          <w:marTop w:val="0"/>
          <w:marBottom w:val="0"/>
          <w:divBdr>
            <w:top w:val="none" w:sz="0" w:space="0" w:color="auto"/>
            <w:left w:val="none" w:sz="0" w:space="0" w:color="auto"/>
            <w:bottom w:val="none" w:sz="0" w:space="0" w:color="auto"/>
            <w:right w:val="none" w:sz="0" w:space="0" w:color="auto"/>
          </w:divBdr>
        </w:div>
        <w:div w:id="1411268645">
          <w:marLeft w:val="0"/>
          <w:marRight w:val="0"/>
          <w:marTop w:val="0"/>
          <w:marBottom w:val="0"/>
          <w:divBdr>
            <w:top w:val="none" w:sz="0" w:space="0" w:color="auto"/>
            <w:left w:val="none" w:sz="0" w:space="0" w:color="auto"/>
            <w:bottom w:val="none" w:sz="0" w:space="0" w:color="auto"/>
            <w:right w:val="none" w:sz="0" w:space="0" w:color="auto"/>
          </w:divBdr>
        </w:div>
        <w:div w:id="251084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CD75C5-D7AE-4E45-B74B-E2006D1B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4</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HedgeQuant Framework</vt:lpstr>
    </vt:vector>
  </TitlesOfParts>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HedgeQuant Framework</dc:title>
  <dc:creator>gyantal</dc:creator>
  <cp:lastModifiedBy>gyantal</cp:lastModifiedBy>
  <cp:revision>137</cp:revision>
  <dcterms:created xsi:type="dcterms:W3CDTF">2007-05-23T17:03:00Z</dcterms:created>
  <dcterms:modified xsi:type="dcterms:W3CDTF">2008-04-10T13:29:00Z</dcterms:modified>
</cp:coreProperties>
</file>