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532B3" w:rsidRDefault="005C7004" w:rsidP="009532B3">
      <w:pPr>
        <w:pStyle w:val="Heading1"/>
        <w:jc w:val="center"/>
        <w:rPr>
          <w:sz w:val="40"/>
          <w:szCs w:val="40"/>
          <w:lang w:val="en-GB"/>
        </w:rPr>
      </w:pPr>
      <w:r w:rsidRPr="005C7004">
        <w:rPr>
          <w:noProof/>
          <w:szCs w:val="24"/>
          <w:lang w:val="en-GB" w:eastAsia="en-GB"/>
        </w:rPr>
        <w:pict>
          <v:shapetype id="_x0000_t186" coordsize="21600,21600" o:spt="186" adj="1800" path="m@9,nfqx@0@0l@0@7qy0@4@0@8l@0@6qy@9,21600em@10,nfqx@5@0l@5@7qy21600@4@5@8l@5@6qy@10,21600em@9,nsqx@0@0l@0@7qy0@4@0@8l@0@6qy@9,21600l@10,21600qx@5@6l@5@8qy21600@4@5@7l@5@0qy@10,xe" filled="f">
            <v:formulas>
              <v:f eqn="val #0"/>
              <v:f eqn="val width"/>
              <v:f eqn="val height"/>
              <v:f eqn="prod width 1 2"/>
              <v:f eqn="prod height 1 2"/>
              <v:f eqn="sum width 0 #0"/>
              <v:f eqn="sum height 0 #0"/>
              <v:f eqn="sum @4 0 #0"/>
              <v:f eqn="sum @4 #0 0"/>
              <v:f eqn="prod #0 2 1"/>
              <v:f eqn="sum width 0 @9"/>
              <v:f eqn="prod #0 9598 32768"/>
              <v:f eqn="sum height 0 @11"/>
              <v:f eqn="sum @11 #0 0"/>
              <v:f eqn="sum width 0 @13"/>
            </v:formulas>
            <v:path o:extrusionok="f" limo="10800,10800" o:connecttype="custom" o:connectlocs="@3,0;0,@4;@3,@2;@1,@4" textboxrect="@13,@11,@14,@12"/>
            <v:handles>
              <v:h position="topLeft,#0" switch="" yrange="0,5400"/>
            </v:handles>
          </v:shapetype>
          <v:shape id="_x0000_s1031" type="#_x0000_t186" style="position:absolute;left:0;text-align:left;margin-left:330.05pt;margin-top:24.45pt;width:203.4pt;height:176.5pt;rotation:90;z-index:251667456;mso-position-horizontal-relative:margin;mso-position-vertical-relative:page;mso-width-relative:margin;mso-height-relative:margin;v-text-anchor:middle" o:allowincell="f" filled="t" fillcolor="#1f497d [3215]" stroked="f" strokecolor="#5c83b4" strokeweight=".25pt">
            <v:shadow on="t" opacity=".5" offset="6pt,-6pt"/>
            <v:textbox style="mso-next-textbox:#_x0000_s1031">
              <w:txbxContent>
                <w:p w:rsidR="009532B3" w:rsidRDefault="009532B3" w:rsidP="009532B3">
                  <w:pPr>
                    <w:spacing w:after="0" w:line="288" w:lineRule="auto"/>
                    <w:jc w:val="center"/>
                    <w:rPr>
                      <w:rFonts w:asciiTheme="majorHAnsi" w:eastAsiaTheme="majorEastAsia" w:hAnsiTheme="majorHAnsi" w:cstheme="majorBidi"/>
                      <w:i/>
                      <w:iCs/>
                      <w:color w:val="D3DFEE" w:themeColor="accent1" w:themeTint="3F"/>
                      <w:sz w:val="28"/>
                      <w:szCs w:val="28"/>
                    </w:rPr>
                  </w:pPr>
                  <w:r>
                    <w:rPr>
                      <w:rFonts w:asciiTheme="majorHAnsi" w:eastAsiaTheme="majorEastAsia" w:hAnsiTheme="majorHAnsi" w:cstheme="majorBidi"/>
                      <w:i/>
                      <w:iCs/>
                      <w:color w:val="D3DFEE" w:themeColor="accent1" w:themeTint="3F"/>
                      <w:sz w:val="28"/>
                      <w:szCs w:val="28"/>
                    </w:rPr>
                    <w:t xml:space="preserve">Zoomable User Interface (ZUI): The graphical user interface (GUI) is based on a </w:t>
                  </w:r>
                  <w:r w:rsidRPr="0027152F">
                    <w:rPr>
                      <w:rFonts w:asciiTheme="majorHAnsi" w:eastAsiaTheme="majorEastAsia" w:hAnsiTheme="majorHAnsi" w:cstheme="majorBidi"/>
                      <w:i/>
                      <w:iCs/>
                      <w:color w:val="D3DFEE" w:themeColor="accent1" w:themeTint="3F"/>
                      <w:sz w:val="28"/>
                      <w:szCs w:val="28"/>
                    </w:rPr>
                    <w:t>graphical environment where users can change the scale of the viewed area in to see more detail or less</w:t>
                  </w:r>
                </w:p>
              </w:txbxContent>
            </v:textbox>
            <w10:wrap type="square" anchorx="margin" anchory="page"/>
          </v:shape>
        </w:pict>
      </w:r>
      <w:r w:rsidR="009532B3" w:rsidRPr="009532B3">
        <w:rPr>
          <w:sz w:val="40"/>
          <w:szCs w:val="40"/>
          <w:lang w:val="en-GB"/>
        </w:rPr>
        <w:t xml:space="preserve">The Zoomable </w:t>
      </w:r>
      <w:r w:rsidR="00044798">
        <w:rPr>
          <w:sz w:val="40"/>
          <w:szCs w:val="40"/>
          <w:lang w:val="en-GB"/>
        </w:rPr>
        <w:t>Windows</w:t>
      </w:r>
      <w:r w:rsidR="006A391A">
        <w:rPr>
          <w:sz w:val="40"/>
          <w:szCs w:val="40"/>
          <w:lang w:val="en-GB"/>
        </w:rPr>
        <w:t xml:space="preserve"> Desktop</w:t>
      </w:r>
      <w:r w:rsidR="009532B3" w:rsidRPr="009532B3">
        <w:rPr>
          <w:sz w:val="40"/>
          <w:szCs w:val="40"/>
          <w:lang w:val="en-GB"/>
        </w:rPr>
        <w:t xml:space="preserve"> concept</w:t>
      </w:r>
    </w:p>
    <w:p w:rsidR="009532B3" w:rsidRDefault="009532B3" w:rsidP="009532B3">
      <w:pPr>
        <w:pStyle w:val="Heading2"/>
        <w:rPr>
          <w:lang w:val="en-GB"/>
        </w:rPr>
      </w:pPr>
    </w:p>
    <w:p w:rsidR="006D2BC2" w:rsidRPr="006D2BC2" w:rsidRDefault="006D2BC2" w:rsidP="006D2BC2">
      <w:pPr>
        <w:rPr>
          <w:lang w:val="en-GB"/>
        </w:rPr>
      </w:pPr>
      <w:r>
        <w:rPr>
          <w:lang w:val="en-GB"/>
        </w:rPr>
        <w:t>We call these concept that contains small and zoomable windows as “Desktop”, because it has some resemblance with the “Windows desktop” that shows icons and order them according to some rules.</w:t>
      </w:r>
    </w:p>
    <w:p w:rsidR="009532B3" w:rsidRPr="00E628C1" w:rsidRDefault="00BF0F37" w:rsidP="00BF0F37">
      <w:pPr>
        <w:pStyle w:val="Heading2"/>
        <w:numPr>
          <w:ilvl w:val="0"/>
          <w:numId w:val="9"/>
        </w:numPr>
        <w:rPr>
          <w:lang w:val="en-GB"/>
        </w:rPr>
      </w:pPr>
      <w:r>
        <w:rPr>
          <w:lang w:val="en-GB"/>
        </w:rPr>
        <w:t>The sketches that were sent</w:t>
      </w:r>
    </w:p>
    <w:p w:rsidR="00C711E9" w:rsidRDefault="00BF0F37" w:rsidP="00F41DD3">
      <w:pPr>
        <w:pBdr>
          <w:bottom w:val="single" w:sz="6" w:space="0" w:color="auto"/>
        </w:pBdr>
        <w:jc w:val="center"/>
        <w:rPr>
          <w:lang w:val="en-GB"/>
        </w:rPr>
      </w:pPr>
      <w:r>
        <w:rPr>
          <w:noProof/>
          <w:szCs w:val="24"/>
          <w:lang w:val="en-GB" w:eastAsia="en-GB"/>
        </w:rPr>
        <w:drawing>
          <wp:inline distT="0" distB="0" distL="0" distR="0">
            <wp:extent cx="4521953" cy="3399300"/>
            <wp:effectExtent l="1905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srcRect/>
                    <a:stretch>
                      <a:fillRect/>
                    </a:stretch>
                  </pic:blipFill>
                  <pic:spPr bwMode="auto">
                    <a:xfrm>
                      <a:off x="0" y="0"/>
                      <a:ext cx="4524657" cy="3401333"/>
                    </a:xfrm>
                    <a:prstGeom prst="rect">
                      <a:avLst/>
                    </a:prstGeom>
                    <a:noFill/>
                    <a:ln w="9525">
                      <a:noFill/>
                      <a:miter lim="800000"/>
                      <a:headEnd/>
                      <a:tailEnd/>
                    </a:ln>
                  </pic:spPr>
                </pic:pic>
              </a:graphicData>
            </a:graphic>
          </wp:inline>
        </w:drawing>
      </w:r>
      <w:r w:rsidR="00F41DD3">
        <w:rPr>
          <w:lang w:val="en-GB"/>
        </w:rPr>
        <w:br/>
        <w:t>Figure 1</w:t>
      </w:r>
    </w:p>
    <w:p w:rsidR="00C711E9" w:rsidRDefault="00BF0F37" w:rsidP="002706AC">
      <w:pPr>
        <w:pBdr>
          <w:bottom w:val="single" w:sz="6" w:space="0" w:color="auto"/>
        </w:pBdr>
        <w:jc w:val="center"/>
        <w:rPr>
          <w:lang w:val="en-GB"/>
        </w:rPr>
      </w:pPr>
      <w:r>
        <w:rPr>
          <w:noProof/>
          <w:szCs w:val="24"/>
          <w:lang w:val="en-GB" w:eastAsia="en-GB"/>
        </w:rPr>
        <w:lastRenderedPageBreak/>
        <w:drawing>
          <wp:inline distT="0" distB="0" distL="0" distR="0">
            <wp:extent cx="5152232" cy="3586106"/>
            <wp:effectExtent l="1905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 cstate="print"/>
                    <a:srcRect/>
                    <a:stretch>
                      <a:fillRect/>
                    </a:stretch>
                  </pic:blipFill>
                  <pic:spPr bwMode="auto">
                    <a:xfrm>
                      <a:off x="0" y="0"/>
                      <a:ext cx="5152815" cy="3586512"/>
                    </a:xfrm>
                    <a:prstGeom prst="rect">
                      <a:avLst/>
                    </a:prstGeom>
                    <a:noFill/>
                    <a:ln w="9525">
                      <a:noFill/>
                      <a:miter lim="800000"/>
                      <a:headEnd/>
                      <a:tailEnd/>
                    </a:ln>
                  </pic:spPr>
                </pic:pic>
              </a:graphicData>
            </a:graphic>
          </wp:inline>
        </w:drawing>
      </w:r>
    </w:p>
    <w:p w:rsidR="00F41DD3" w:rsidRDefault="00F41DD3" w:rsidP="00F41DD3">
      <w:pPr>
        <w:pBdr>
          <w:bottom w:val="single" w:sz="6" w:space="0" w:color="auto"/>
        </w:pBdr>
        <w:jc w:val="center"/>
        <w:rPr>
          <w:lang w:val="en-GB"/>
        </w:rPr>
      </w:pPr>
      <w:r>
        <w:rPr>
          <w:lang w:val="en-GB"/>
        </w:rPr>
        <w:t>Figure 2</w:t>
      </w:r>
    </w:p>
    <w:p w:rsidR="002706AC" w:rsidRDefault="00BF0F37" w:rsidP="002706AC">
      <w:pPr>
        <w:pBdr>
          <w:bottom w:val="single" w:sz="6" w:space="0" w:color="auto"/>
        </w:pBdr>
        <w:jc w:val="center"/>
        <w:rPr>
          <w:lang w:val="en-GB"/>
        </w:rPr>
      </w:pPr>
      <w:r>
        <w:rPr>
          <w:noProof/>
          <w:szCs w:val="24"/>
          <w:lang w:val="en-GB" w:eastAsia="en-GB"/>
        </w:rPr>
        <w:drawing>
          <wp:inline distT="0" distB="0" distL="0" distR="0">
            <wp:extent cx="4721688" cy="3483647"/>
            <wp:effectExtent l="19050" t="0" r="2712"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1" cstate="print"/>
                    <a:srcRect/>
                    <a:stretch>
                      <a:fillRect/>
                    </a:stretch>
                  </pic:blipFill>
                  <pic:spPr bwMode="auto">
                    <a:xfrm>
                      <a:off x="0" y="0"/>
                      <a:ext cx="4724511" cy="3485730"/>
                    </a:xfrm>
                    <a:prstGeom prst="rect">
                      <a:avLst/>
                    </a:prstGeom>
                    <a:noFill/>
                    <a:ln w="9525">
                      <a:noFill/>
                      <a:miter lim="800000"/>
                      <a:headEnd/>
                      <a:tailEnd/>
                    </a:ln>
                  </pic:spPr>
                </pic:pic>
              </a:graphicData>
            </a:graphic>
          </wp:inline>
        </w:drawing>
      </w:r>
    </w:p>
    <w:p w:rsidR="002706AC" w:rsidRDefault="00F41DD3" w:rsidP="002706AC">
      <w:pPr>
        <w:pBdr>
          <w:bottom w:val="single" w:sz="6" w:space="0" w:color="auto"/>
        </w:pBdr>
        <w:jc w:val="center"/>
        <w:rPr>
          <w:lang w:val="en-GB"/>
        </w:rPr>
      </w:pPr>
      <w:r>
        <w:rPr>
          <w:lang w:val="en-GB"/>
        </w:rPr>
        <w:t>Figure 3</w:t>
      </w:r>
    </w:p>
    <w:p w:rsidR="002706AC" w:rsidRDefault="002706AC" w:rsidP="002706AC">
      <w:pPr>
        <w:pBdr>
          <w:bottom w:val="single" w:sz="6" w:space="0" w:color="auto"/>
        </w:pBdr>
        <w:jc w:val="center"/>
        <w:rPr>
          <w:lang w:val="en-GB"/>
        </w:rPr>
      </w:pPr>
    </w:p>
    <w:p w:rsidR="002706AC" w:rsidRDefault="002706AC" w:rsidP="006167B7">
      <w:pPr>
        <w:pStyle w:val="Heading2"/>
        <w:numPr>
          <w:ilvl w:val="0"/>
          <w:numId w:val="9"/>
        </w:numPr>
        <w:rPr>
          <w:lang w:val="en-GB"/>
        </w:rPr>
      </w:pPr>
      <w:r>
        <w:rPr>
          <w:lang w:val="en-GB"/>
        </w:rPr>
        <w:lastRenderedPageBreak/>
        <w:t>Our comments</w:t>
      </w:r>
    </w:p>
    <w:p w:rsidR="00BF0F37" w:rsidRDefault="00BF0F37" w:rsidP="00BF0F37">
      <w:pPr>
        <w:rPr>
          <w:lang w:val="en-GB"/>
        </w:rPr>
      </w:pPr>
    </w:p>
    <w:p w:rsidR="00035C14" w:rsidRDefault="00F41DD3" w:rsidP="00F41DD3">
      <w:pPr>
        <w:pStyle w:val="ListParagraph"/>
        <w:numPr>
          <w:ilvl w:val="0"/>
          <w:numId w:val="12"/>
        </w:numPr>
        <w:rPr>
          <w:lang w:val="en-GB"/>
        </w:rPr>
      </w:pPr>
      <w:r>
        <w:rPr>
          <w:lang w:val="en-GB"/>
        </w:rPr>
        <w:t xml:space="preserve">I think it is </w:t>
      </w:r>
      <w:r w:rsidR="002A6D8F">
        <w:rPr>
          <w:lang w:val="en-GB"/>
        </w:rPr>
        <w:t xml:space="preserve">well </w:t>
      </w:r>
      <w:r>
        <w:rPr>
          <w:lang w:val="en-GB"/>
        </w:rPr>
        <w:t>worth separating 2 tasks</w:t>
      </w:r>
      <w:r w:rsidR="00747C36">
        <w:rPr>
          <w:lang w:val="en-GB"/>
        </w:rPr>
        <w:t xml:space="preserve"> here</w:t>
      </w:r>
      <w:r>
        <w:rPr>
          <w:lang w:val="en-GB"/>
        </w:rPr>
        <w:t xml:space="preserve">: </w:t>
      </w:r>
    </w:p>
    <w:p w:rsidR="00035C14" w:rsidRDefault="00F41DD3" w:rsidP="00035C14">
      <w:pPr>
        <w:pStyle w:val="ListParagraph"/>
        <w:numPr>
          <w:ilvl w:val="1"/>
          <w:numId w:val="12"/>
        </w:numPr>
        <w:rPr>
          <w:lang w:val="en-GB"/>
        </w:rPr>
      </w:pPr>
      <w:r>
        <w:rPr>
          <w:lang w:val="en-GB"/>
        </w:rPr>
        <w:t xml:space="preserve">determining the </w:t>
      </w:r>
      <w:r w:rsidR="00E019E1">
        <w:rPr>
          <w:lang w:val="en-GB"/>
        </w:rPr>
        <w:t>window rectangle (size</w:t>
      </w:r>
      <w:r w:rsidR="00B271A5">
        <w:rPr>
          <w:lang w:val="en-GB"/>
        </w:rPr>
        <w:t xml:space="preserve"> (width, height)</w:t>
      </w:r>
      <w:r w:rsidR="00720E22">
        <w:rPr>
          <w:lang w:val="en-GB"/>
        </w:rPr>
        <w:t xml:space="preserve"> +</w:t>
      </w:r>
      <w:r>
        <w:rPr>
          <w:lang w:val="en-GB"/>
        </w:rPr>
        <w:t xml:space="preserve"> position</w:t>
      </w:r>
      <w:r w:rsidR="00B271A5">
        <w:rPr>
          <w:lang w:val="en-GB"/>
        </w:rPr>
        <w:t xml:space="preserve"> (X,Y)</w:t>
      </w:r>
      <w:r w:rsidR="00E019E1">
        <w:rPr>
          <w:lang w:val="en-GB"/>
        </w:rPr>
        <w:t>)</w:t>
      </w:r>
      <w:r>
        <w:rPr>
          <w:lang w:val="en-GB"/>
        </w:rPr>
        <w:t xml:space="preserve"> of the windows AND </w:t>
      </w:r>
    </w:p>
    <w:p w:rsidR="00035C14" w:rsidRDefault="00F41DD3" w:rsidP="00035C14">
      <w:pPr>
        <w:pStyle w:val="ListParagraph"/>
        <w:numPr>
          <w:ilvl w:val="1"/>
          <w:numId w:val="12"/>
        </w:numPr>
        <w:rPr>
          <w:lang w:val="en-GB"/>
        </w:rPr>
      </w:pPr>
      <w:r>
        <w:rPr>
          <w:lang w:val="en-GB"/>
        </w:rPr>
        <w:t>determining the</w:t>
      </w:r>
      <w:r w:rsidR="004E1B24">
        <w:rPr>
          <w:lang w:val="en-GB"/>
        </w:rPr>
        <w:t xml:space="preserve"> inner</w:t>
      </w:r>
      <w:r>
        <w:rPr>
          <w:lang w:val="en-GB"/>
        </w:rPr>
        <w:t xml:space="preserve"> content of the windows. </w:t>
      </w:r>
    </w:p>
    <w:p w:rsidR="00F41DD3" w:rsidRDefault="00F41DD3" w:rsidP="00035C14">
      <w:pPr>
        <w:ind w:left="1080"/>
        <w:rPr>
          <w:lang w:val="en-GB"/>
        </w:rPr>
      </w:pPr>
      <w:r w:rsidRPr="00035C14">
        <w:rPr>
          <w:lang w:val="en-GB"/>
        </w:rPr>
        <w:t>As the first step we should concentrate only</w:t>
      </w:r>
      <w:r w:rsidR="00003C93">
        <w:rPr>
          <w:lang w:val="en-GB"/>
        </w:rPr>
        <w:t xml:space="preserve"> on</w:t>
      </w:r>
      <w:r w:rsidRPr="00035C14">
        <w:rPr>
          <w:lang w:val="en-GB"/>
        </w:rPr>
        <w:t xml:space="preserve"> the first part and design a general framework for that. So, in this document we only address that problem.</w:t>
      </w:r>
      <w:r w:rsidR="006826F1" w:rsidRPr="00035C14">
        <w:rPr>
          <w:lang w:val="en-GB"/>
        </w:rPr>
        <w:t xml:space="preserve"> (Figure 3 shows some zooming th</w:t>
      </w:r>
      <w:r w:rsidR="009D62C3" w:rsidRPr="00035C14">
        <w:rPr>
          <w:lang w:val="en-GB"/>
        </w:rPr>
        <w:t xml:space="preserve">at happens inside the window; but that is the topic of </w:t>
      </w:r>
      <w:r w:rsidR="00EB6B4E">
        <w:rPr>
          <w:lang w:val="en-GB"/>
        </w:rPr>
        <w:t xml:space="preserve">window’s </w:t>
      </w:r>
      <w:r w:rsidR="00867D9C">
        <w:rPr>
          <w:lang w:val="en-GB"/>
        </w:rPr>
        <w:t xml:space="preserve">inner content </w:t>
      </w:r>
      <w:r w:rsidR="009D62C3" w:rsidRPr="00035C14">
        <w:rPr>
          <w:lang w:val="en-GB"/>
        </w:rPr>
        <w:t>problem)</w:t>
      </w:r>
    </w:p>
    <w:p w:rsidR="00C466FE" w:rsidRDefault="00C466FE" w:rsidP="00C466FE">
      <w:pPr>
        <w:ind w:left="1080"/>
        <w:rPr>
          <w:rFonts w:ascii="Calibri" w:hAnsi="Calibri"/>
          <w:color w:val="FF0000"/>
        </w:rPr>
      </w:pPr>
      <w:r>
        <w:rPr>
          <w:rFonts w:ascii="Calibri" w:hAnsi="Calibri"/>
          <w:color w:val="FF0000"/>
        </w:rPr>
        <w:t>O.K but we have to keep in mind that there are successive contextual windows embedded in each other. They are nested, opening  multispace universe.</w:t>
      </w:r>
    </w:p>
    <w:p w:rsidR="00C466FE" w:rsidRDefault="00C466FE" w:rsidP="00C466FE">
      <w:pPr>
        <w:ind w:left="1080"/>
        <w:rPr>
          <w:rFonts w:ascii="Calibri" w:hAnsi="Calibri"/>
          <w:color w:val="FF0000"/>
        </w:rPr>
      </w:pPr>
      <w:r>
        <w:rPr>
          <w:rFonts w:ascii="Calibri" w:hAnsi="Calibri"/>
          <w:color w:val="FF0000"/>
        </w:rPr>
        <w:t>I would prefer the term Zoomable desktop without 'windows' because they have to appear part of a continuous interface they have to be as borderless as possible.</w:t>
      </w:r>
    </w:p>
    <w:p w:rsidR="00C466FE" w:rsidRDefault="00C466FE" w:rsidP="00C466FE">
      <w:pPr>
        <w:ind w:left="1080"/>
        <w:rPr>
          <w:rFonts w:ascii="Calibri" w:hAnsi="Calibri"/>
          <w:color w:val="FF0000"/>
        </w:rPr>
      </w:pPr>
      <w:r>
        <w:rPr>
          <w:rFonts w:ascii="Calibri" w:hAnsi="Calibri"/>
          <w:color w:val="FF0000"/>
        </w:rPr>
        <w:t>It has to look as one page</w:t>
      </w:r>
    </w:p>
    <w:p w:rsidR="00C466FE" w:rsidRDefault="00C466FE" w:rsidP="00C466FE">
      <w:pPr>
        <w:ind w:left="1080"/>
        <w:rPr>
          <w:rFonts w:ascii="Calibri" w:hAnsi="Calibri"/>
          <w:color w:val="FF0000"/>
        </w:rPr>
      </w:pPr>
      <w:r>
        <w:rPr>
          <w:rFonts w:ascii="Calibri" w:hAnsi="Calibri"/>
          <w:color w:val="FF0000"/>
        </w:rPr>
        <w:t>That is the theory!</w:t>
      </w:r>
    </w:p>
    <w:p w:rsidR="00C466FE" w:rsidRPr="00035C14" w:rsidRDefault="00C466FE" w:rsidP="00035C14">
      <w:pPr>
        <w:ind w:left="1080"/>
        <w:rPr>
          <w:lang w:val="en-GB"/>
        </w:rPr>
      </w:pPr>
    </w:p>
    <w:p w:rsidR="00F41DD3" w:rsidRDefault="00573703" w:rsidP="00F41DD3">
      <w:pPr>
        <w:pStyle w:val="ListParagraph"/>
        <w:numPr>
          <w:ilvl w:val="0"/>
          <w:numId w:val="12"/>
        </w:numPr>
        <w:rPr>
          <w:lang w:val="en-GB"/>
        </w:rPr>
      </w:pPr>
      <w:r>
        <w:rPr>
          <w:lang w:val="en-GB"/>
        </w:rPr>
        <w:t>Important: t</w:t>
      </w:r>
      <w:r w:rsidR="004043FC">
        <w:rPr>
          <w:lang w:val="en-GB"/>
        </w:rPr>
        <w:t xml:space="preserve">he framework should handle different desktop resolutions (for example: 1024x768, 1680x1050, 1920x1200, etc.). So we </w:t>
      </w:r>
      <w:r w:rsidR="00377A43">
        <w:rPr>
          <w:lang w:val="en-GB"/>
        </w:rPr>
        <w:t>will not</w:t>
      </w:r>
      <w:r w:rsidR="004043FC">
        <w:rPr>
          <w:lang w:val="en-GB"/>
        </w:rPr>
        <w:t xml:space="preserve"> fix the window sizes</w:t>
      </w:r>
      <w:r w:rsidR="00377A43">
        <w:rPr>
          <w:lang w:val="en-GB"/>
        </w:rPr>
        <w:t xml:space="preserve"> as pixels</w:t>
      </w:r>
      <w:r w:rsidR="004043FC">
        <w:rPr>
          <w:lang w:val="en-GB"/>
        </w:rPr>
        <w:t xml:space="preserve">. For example the width of the “EPARGNE” window (in sub-figure 4) is </w:t>
      </w:r>
      <w:r w:rsidR="00AE6B6A">
        <w:rPr>
          <w:lang w:val="en-GB"/>
        </w:rPr>
        <w:t>600</w:t>
      </w:r>
      <w:r w:rsidR="00312B61">
        <w:rPr>
          <w:lang w:val="en-GB"/>
        </w:rPr>
        <w:t xml:space="preserve"> </w:t>
      </w:r>
      <w:r w:rsidR="00377A43">
        <w:rPr>
          <w:lang w:val="en-GB"/>
        </w:rPr>
        <w:t>pixels</w:t>
      </w:r>
      <w:r w:rsidR="00AE6B6A">
        <w:rPr>
          <w:lang w:val="en-GB"/>
        </w:rPr>
        <w:t xml:space="preserve"> if the user has a</w:t>
      </w:r>
      <w:r w:rsidR="004043FC">
        <w:rPr>
          <w:lang w:val="en-GB"/>
        </w:rPr>
        <w:t xml:space="preserve"> 1024x768 desktop, but it is 1000</w:t>
      </w:r>
      <w:r w:rsidR="00312B61">
        <w:rPr>
          <w:lang w:val="en-GB"/>
        </w:rPr>
        <w:t xml:space="preserve"> </w:t>
      </w:r>
      <w:r w:rsidR="004043FC">
        <w:rPr>
          <w:lang w:val="en-GB"/>
        </w:rPr>
        <w:t>pixel</w:t>
      </w:r>
      <w:r w:rsidR="00377A43">
        <w:rPr>
          <w:lang w:val="en-GB"/>
        </w:rPr>
        <w:t>s</w:t>
      </w:r>
      <w:r w:rsidR="004043FC">
        <w:rPr>
          <w:lang w:val="en-GB"/>
        </w:rPr>
        <w:t xml:space="preserve"> if the user has an 1920x1200 desktop.</w:t>
      </w:r>
      <w:r w:rsidR="006B44B8">
        <w:rPr>
          <w:lang w:val="en-GB"/>
        </w:rPr>
        <w:t xml:space="preserve"> This makes the implementation more difficult, but I think it is necessary to be prepared for that.</w:t>
      </w:r>
      <w:r w:rsidR="00377A43">
        <w:rPr>
          <w:lang w:val="en-GB"/>
        </w:rPr>
        <w:br/>
      </w:r>
      <w:r w:rsidR="00377A43">
        <w:rPr>
          <w:lang w:val="en-GB"/>
        </w:rPr>
        <w:tab/>
        <w:t>Imagine that for this case the 1000 pixels wide “EPARGNE” window can contain more information than the 600 pixels wide “EPARGNE” window, so it is possible that there are different widgets, different LOD that depends on the resolution of the PC.</w:t>
      </w:r>
    </w:p>
    <w:p w:rsidR="00AC1446" w:rsidRDefault="00AC1446" w:rsidP="00F41DD3">
      <w:pPr>
        <w:pStyle w:val="ListParagraph"/>
        <w:numPr>
          <w:ilvl w:val="0"/>
          <w:numId w:val="12"/>
        </w:numPr>
        <w:rPr>
          <w:lang w:val="en-GB"/>
        </w:rPr>
      </w:pPr>
      <w:r>
        <w:rPr>
          <w:lang w:val="en-GB"/>
        </w:rPr>
        <w:t>There is a mainWindow (currently the 3D spheres window</w:t>
      </w:r>
      <w:r w:rsidR="00F5354C">
        <w:rPr>
          <w:lang w:val="en-GB"/>
        </w:rPr>
        <w:t xml:space="preserve"> in HQ Desktop</w:t>
      </w:r>
      <w:r>
        <w:rPr>
          <w:lang w:val="en-GB"/>
        </w:rPr>
        <w:t xml:space="preserve">) that is in the background (but the </w:t>
      </w:r>
      <w:r w:rsidR="009A344D">
        <w:rPr>
          <w:lang w:val="en-GB"/>
        </w:rPr>
        <w:t xml:space="preserve">Brooke’s </w:t>
      </w:r>
      <w:r>
        <w:rPr>
          <w:lang w:val="en-GB"/>
        </w:rPr>
        <w:t>sketches do forget to mention this fact)</w:t>
      </w:r>
    </w:p>
    <w:p w:rsidR="00C466FE" w:rsidRDefault="00C466FE" w:rsidP="00C466FE">
      <w:pPr>
        <w:pStyle w:val="ListParagraph"/>
        <w:numPr>
          <w:ilvl w:val="0"/>
          <w:numId w:val="12"/>
        </w:numPr>
        <w:spacing w:after="0"/>
        <w:rPr>
          <w:rFonts w:ascii="Calibri" w:hAnsi="Calibri"/>
          <w:color w:val="FF0000"/>
        </w:rPr>
      </w:pPr>
      <w:r>
        <w:rPr>
          <w:rFonts w:ascii="Calibri" w:eastAsia="Calibri" w:hAnsi="Calibri" w:cs="Calibri"/>
          <w:color w:val="FF0000"/>
        </w:rPr>
        <w:t>-</w:t>
      </w:r>
      <w:r>
        <w:rPr>
          <w:rFonts w:eastAsia="Calibri"/>
          <w:color w:val="FF0000"/>
          <w:sz w:val="14"/>
          <w:szCs w:val="14"/>
        </w:rPr>
        <w:t xml:space="preserve">          </w:t>
      </w:r>
      <w:r>
        <w:rPr>
          <w:rFonts w:ascii="Calibri" w:hAnsi="Calibri"/>
          <w:color w:val="FF0000"/>
        </w:rPr>
        <w:t>Yes</w:t>
      </w:r>
    </w:p>
    <w:p w:rsidR="00C466FE" w:rsidRDefault="00C466FE" w:rsidP="00F41DD3">
      <w:pPr>
        <w:pStyle w:val="ListParagraph"/>
        <w:numPr>
          <w:ilvl w:val="0"/>
          <w:numId w:val="12"/>
        </w:numPr>
        <w:rPr>
          <w:lang w:val="en-GB"/>
        </w:rPr>
      </w:pPr>
    </w:p>
    <w:p w:rsidR="003C79F7" w:rsidRDefault="003C79F7" w:rsidP="005A7755">
      <w:pPr>
        <w:pStyle w:val="ListParagraph"/>
        <w:rPr>
          <w:lang w:val="en-GB"/>
        </w:rPr>
      </w:pPr>
    </w:p>
    <w:p w:rsidR="00DD15E9" w:rsidRDefault="005C7004" w:rsidP="00DD15E9">
      <w:pPr>
        <w:rPr>
          <w:lang w:val="en-GB"/>
        </w:rPr>
      </w:pPr>
      <w:r>
        <w:rPr>
          <w:noProof/>
          <w:lang w:val="en-GB" w:eastAsia="en-GB"/>
        </w:rPr>
        <w:pict>
          <v:shapetype id="_x0000_t202" coordsize="21600,21600" o:spt="202" path="m,l,21600r21600,l21600,xe">
            <v:stroke joinstyle="miter"/>
            <v:path gradientshapeok="t" o:connecttype="rect"/>
          </v:shapetype>
          <v:shape id="_x0000_s1109" type="#_x0000_t202" style="position:absolute;margin-left:113.9pt;margin-top:191.2pt;width:24.25pt;height:20.2pt;z-index:251701248">
            <v:textbox style="mso-next-textbox:#_x0000_s1109">
              <w:txbxContent>
                <w:p w:rsidR="00DD15E9" w:rsidRPr="002A6D8F" w:rsidRDefault="00DD15E9" w:rsidP="00DD15E9">
                  <w:pPr>
                    <w:rPr>
                      <w:lang w:val="en-GB"/>
                    </w:rPr>
                  </w:pPr>
                  <w:r>
                    <w:rPr>
                      <w:lang w:val="en-GB"/>
                    </w:rPr>
                    <w:t>Go</w:t>
                  </w:r>
                </w:p>
              </w:txbxContent>
            </v:textbox>
          </v:shape>
        </w:pict>
      </w:r>
      <w:r>
        <w:rPr>
          <w:noProof/>
          <w:lang w:val="en-GB" w:eastAsia="en-GB"/>
        </w:rPr>
        <w:pict>
          <v:shape id="_x0000_s1108" type="#_x0000_t202" style="position:absolute;margin-left:113.9pt;margin-top:162.9pt;width:24.25pt;height:20.2pt;z-index:251700224">
            <v:textbox style="mso-next-textbox:#_x0000_s1108">
              <w:txbxContent>
                <w:p w:rsidR="00DD15E9" w:rsidRPr="002A6D8F" w:rsidRDefault="00DD15E9" w:rsidP="00DD15E9">
                  <w:pPr>
                    <w:rPr>
                      <w:lang w:val="en-GB"/>
                    </w:rPr>
                  </w:pPr>
                  <w:r>
                    <w:rPr>
                      <w:lang w:val="en-GB"/>
                    </w:rPr>
                    <w:t>Fo</w:t>
                  </w:r>
                </w:p>
              </w:txbxContent>
            </v:textbox>
          </v:shape>
        </w:pict>
      </w:r>
      <w:r>
        <w:rPr>
          <w:noProof/>
          <w:lang w:val="en-GB" w:eastAsia="en-GB"/>
        </w:rPr>
        <w:pict>
          <v:shape id="_x0000_s1107" type="#_x0000_t202" style="position:absolute;margin-left:113.9pt;margin-top:130.7pt;width:24.25pt;height:20.2pt;z-index:251699200">
            <v:textbox style="mso-next-textbox:#_x0000_s1107">
              <w:txbxContent>
                <w:p w:rsidR="00DD15E9" w:rsidRPr="002A6D8F" w:rsidRDefault="00DD15E9" w:rsidP="00DD15E9">
                  <w:pPr>
                    <w:rPr>
                      <w:lang w:val="en-GB"/>
                    </w:rPr>
                  </w:pPr>
                  <w:r>
                    <w:rPr>
                      <w:lang w:val="en-GB"/>
                    </w:rPr>
                    <w:t>Eo</w:t>
                  </w:r>
                </w:p>
              </w:txbxContent>
            </v:textbox>
          </v:shape>
        </w:pict>
      </w:r>
      <w:r>
        <w:rPr>
          <w:noProof/>
          <w:lang w:val="en-GB" w:eastAsia="en-GB"/>
        </w:rPr>
        <w:pict>
          <v:shape id="_x0000_s1106" type="#_x0000_t202" style="position:absolute;margin-left:113.9pt;margin-top:106.3pt;width:24.25pt;height:20.2pt;z-index:251698176">
            <v:textbox style="mso-next-textbox:#_x0000_s1106">
              <w:txbxContent>
                <w:p w:rsidR="00DD15E9" w:rsidRPr="002A6D8F" w:rsidRDefault="00DD15E9" w:rsidP="00DD15E9">
                  <w:pPr>
                    <w:rPr>
                      <w:lang w:val="en-GB"/>
                    </w:rPr>
                  </w:pPr>
                  <w:r>
                    <w:rPr>
                      <w:lang w:val="en-GB"/>
                    </w:rPr>
                    <w:t>Do</w:t>
                  </w:r>
                </w:p>
              </w:txbxContent>
            </v:textbox>
          </v:shape>
        </w:pict>
      </w:r>
      <w:r>
        <w:rPr>
          <w:noProof/>
          <w:lang w:val="en-GB" w:eastAsia="en-GB"/>
        </w:rPr>
        <w:pict>
          <v:shape id="_x0000_s1105" type="#_x0000_t202" style="position:absolute;margin-left:113.9pt;margin-top:77.95pt;width:24.25pt;height:20.2pt;z-index:251697152">
            <v:textbox style="mso-next-textbox:#_x0000_s1105">
              <w:txbxContent>
                <w:p w:rsidR="00DD15E9" w:rsidRPr="002A6D8F" w:rsidRDefault="00DD15E9" w:rsidP="00DD15E9">
                  <w:pPr>
                    <w:rPr>
                      <w:lang w:val="en-GB"/>
                    </w:rPr>
                  </w:pPr>
                  <w:r>
                    <w:rPr>
                      <w:lang w:val="en-GB"/>
                    </w:rPr>
                    <w:t>Co</w:t>
                  </w:r>
                </w:p>
              </w:txbxContent>
            </v:textbox>
          </v:shape>
        </w:pict>
      </w:r>
      <w:r>
        <w:rPr>
          <w:noProof/>
          <w:lang w:val="en-GB" w:eastAsia="en-GB"/>
        </w:rPr>
        <w:pict>
          <v:shape id="_x0000_s1104" type="#_x0000_t202" style="position:absolute;margin-left:113.9pt;margin-top:49.65pt;width:24.25pt;height:20.2pt;z-index:251696128">
            <v:textbox style="mso-next-textbox:#_x0000_s1104">
              <w:txbxContent>
                <w:p w:rsidR="00DD15E9" w:rsidRPr="002A6D8F" w:rsidRDefault="00DD15E9" w:rsidP="00DD15E9">
                  <w:pPr>
                    <w:rPr>
                      <w:lang w:val="en-GB"/>
                    </w:rPr>
                  </w:pPr>
                  <w:r>
                    <w:rPr>
                      <w:lang w:val="en-GB"/>
                    </w:rPr>
                    <w:t>Bo</w:t>
                  </w:r>
                </w:p>
              </w:txbxContent>
            </v:textbox>
          </v:shape>
        </w:pict>
      </w:r>
      <w:r>
        <w:rPr>
          <w:noProof/>
          <w:lang w:val="en-GB" w:eastAsia="en-GB"/>
        </w:rPr>
        <w:pict>
          <v:shape id="_x0000_s1103" type="#_x0000_t202" style="position:absolute;margin-left:113.9pt;margin-top:17.45pt;width:24.25pt;height:20.2pt;z-index:251695104">
            <v:textbox style="mso-next-textbox:#_x0000_s1103">
              <w:txbxContent>
                <w:p w:rsidR="00DD15E9" w:rsidRPr="002A6D8F" w:rsidRDefault="00DD15E9" w:rsidP="00DD15E9">
                  <w:pPr>
                    <w:rPr>
                      <w:lang w:val="en-GB"/>
                    </w:rPr>
                  </w:pPr>
                  <w:r>
                    <w:rPr>
                      <w:lang w:val="en-GB"/>
                    </w:rPr>
                    <w:t>Ao</w:t>
                  </w:r>
                </w:p>
              </w:txbxContent>
            </v:textbox>
          </v:shape>
        </w:pict>
      </w:r>
      <w:r>
        <w:rPr>
          <w:noProof/>
          <w:lang w:val="en-GB" w:eastAsia="en-GB"/>
        </w:rPr>
        <w:pict>
          <v:shape id="_x0000_s1102" type="#_x0000_t202" style="position:absolute;margin-left:76.65pt;margin-top:106.3pt;width:24.25pt;height:20.2pt;z-index:251694080">
            <v:textbox style="mso-next-textbox:#_x0000_s1102">
              <w:txbxContent>
                <w:p w:rsidR="00DD15E9" w:rsidRPr="002A6D8F" w:rsidRDefault="00DD15E9" w:rsidP="00DD15E9">
                  <w:pPr>
                    <w:rPr>
                      <w:lang w:val="en-GB"/>
                    </w:rPr>
                  </w:pPr>
                  <w:r>
                    <w:rPr>
                      <w:lang w:val="en-GB"/>
                    </w:rPr>
                    <w:t>I</w:t>
                  </w:r>
                </w:p>
              </w:txbxContent>
            </v:textbox>
          </v:shape>
        </w:pict>
      </w:r>
      <w:r>
        <w:rPr>
          <w:noProof/>
          <w:lang w:val="en-GB" w:eastAsia="en-GB"/>
        </w:rPr>
        <w:pict>
          <v:shape id="_x0000_s1101" type="#_x0000_t202" style="position:absolute;margin-left:76.65pt;margin-top:77.95pt;width:24.25pt;height:20.2pt;z-index:251693056">
            <v:textbox style="mso-next-textbox:#_x0000_s1101">
              <w:txbxContent>
                <w:p w:rsidR="00DD15E9" w:rsidRPr="002A6D8F" w:rsidRDefault="00DD15E9" w:rsidP="00DD15E9">
                  <w:pPr>
                    <w:rPr>
                      <w:lang w:val="en-GB"/>
                    </w:rPr>
                  </w:pPr>
                  <w:r>
                    <w:rPr>
                      <w:lang w:val="en-GB"/>
                    </w:rPr>
                    <w:t>Po</w:t>
                  </w:r>
                </w:p>
              </w:txbxContent>
            </v:textbox>
          </v:shape>
        </w:pict>
      </w:r>
      <w:r>
        <w:rPr>
          <w:noProof/>
          <w:lang w:val="en-GB" w:eastAsia="en-GB"/>
        </w:rPr>
        <w:pict>
          <v:shape id="_x0000_s1100" type="#_x0000_t202" style="position:absolute;margin-left:76.65pt;margin-top:49.65pt;width:24.25pt;height:20.2pt;z-index:251692032">
            <v:textbox style="mso-next-textbox:#_x0000_s1100">
              <w:txbxContent>
                <w:p w:rsidR="00DD15E9" w:rsidRPr="002A6D8F" w:rsidRDefault="00DD15E9" w:rsidP="00DD15E9">
                  <w:pPr>
                    <w:rPr>
                      <w:lang w:val="en-GB"/>
                    </w:rPr>
                  </w:pPr>
                  <w:r>
                    <w:rPr>
                      <w:lang w:val="en-GB"/>
                    </w:rPr>
                    <w:t>Fo</w:t>
                  </w:r>
                </w:p>
              </w:txbxContent>
            </v:textbox>
          </v:shape>
        </w:pict>
      </w:r>
      <w:r>
        <w:rPr>
          <w:noProof/>
          <w:lang w:val="en-GB" w:eastAsia="en-GB"/>
        </w:rPr>
        <w:pict>
          <v:shape id="_x0000_s1099" type="#_x0000_t202" style="position:absolute;margin-left:76.65pt;margin-top:17.45pt;width:24.25pt;height:20.2pt;z-index:251691008">
            <v:textbox style="mso-next-textbox:#_x0000_s1099">
              <w:txbxContent>
                <w:p w:rsidR="00DD15E9" w:rsidRPr="002A6D8F" w:rsidRDefault="00DD15E9" w:rsidP="00DD15E9">
                  <w:pPr>
                    <w:rPr>
                      <w:lang w:val="en-GB"/>
                    </w:rPr>
                  </w:pPr>
                  <w:r>
                    <w:rPr>
                      <w:lang w:val="en-GB"/>
                    </w:rPr>
                    <w:t>I</w:t>
                  </w:r>
                </w:p>
              </w:txbxContent>
            </v:textbox>
          </v:shape>
        </w:pict>
      </w:r>
      <w:r>
        <w:rPr>
          <w:noProof/>
          <w:lang w:val="en-GB" w:eastAsia="en-GB"/>
        </w:rPr>
        <w:pict>
          <v:shape id="_x0000_s1098" type="#_x0000_t202" style="position:absolute;margin-left:40.4pt;margin-top:106.35pt;width:24.25pt;height:20.2pt;z-index:251689984">
            <v:textbox style="mso-next-textbox:#_x0000_s1098">
              <w:txbxContent>
                <w:p w:rsidR="00DD15E9" w:rsidRPr="002A6D8F" w:rsidRDefault="00DD15E9" w:rsidP="00DD15E9">
                  <w:pPr>
                    <w:rPr>
                      <w:lang w:val="en-GB"/>
                    </w:rPr>
                  </w:pPr>
                  <w:r>
                    <w:rPr>
                      <w:lang w:val="en-GB"/>
                    </w:rPr>
                    <w:t>Lo</w:t>
                  </w:r>
                </w:p>
              </w:txbxContent>
            </v:textbox>
          </v:shape>
        </w:pict>
      </w:r>
      <w:r>
        <w:rPr>
          <w:noProof/>
          <w:lang w:val="en-GB" w:eastAsia="en-GB"/>
        </w:rPr>
        <w:pict>
          <v:shape id="_x0000_s1097" type="#_x0000_t202" style="position:absolute;margin-left:40.4pt;margin-top:78pt;width:24.25pt;height:20.2pt;z-index:251688960">
            <v:textbox style="mso-next-textbox:#_x0000_s1097">
              <w:txbxContent>
                <w:p w:rsidR="00DD15E9" w:rsidRPr="002A6D8F" w:rsidRDefault="00DD15E9" w:rsidP="00DD15E9">
                  <w:pPr>
                    <w:rPr>
                      <w:lang w:val="en-GB"/>
                    </w:rPr>
                  </w:pPr>
                  <w:r>
                    <w:rPr>
                      <w:lang w:val="en-GB"/>
                    </w:rPr>
                    <w:t>Eo</w:t>
                  </w:r>
                </w:p>
              </w:txbxContent>
            </v:textbox>
          </v:shape>
        </w:pict>
      </w:r>
      <w:r>
        <w:rPr>
          <w:noProof/>
          <w:lang w:val="en-GB" w:eastAsia="en-GB"/>
        </w:rPr>
        <w:pict>
          <v:shape id="_x0000_s1096" type="#_x0000_t202" style="position:absolute;margin-left:40.4pt;margin-top:49.7pt;width:24.25pt;height:20.2pt;z-index:251687936">
            <v:textbox style="mso-next-textbox:#_x0000_s1096">
              <w:txbxContent>
                <w:p w:rsidR="00DD15E9" w:rsidRPr="002A6D8F" w:rsidRDefault="00DD15E9" w:rsidP="00DD15E9">
                  <w:pPr>
                    <w:rPr>
                      <w:lang w:val="en-GB"/>
                    </w:rPr>
                  </w:pPr>
                  <w:r>
                    <w:rPr>
                      <w:lang w:val="en-GB"/>
                    </w:rPr>
                    <w:t>Eo</w:t>
                  </w:r>
                </w:p>
              </w:txbxContent>
            </v:textbox>
          </v:shape>
        </w:pict>
      </w:r>
      <w:r>
        <w:rPr>
          <w:noProof/>
          <w:lang w:val="en-GB" w:eastAsia="en-GB"/>
        </w:rPr>
        <w:pict>
          <v:shape id="_x0000_s1095" type="#_x0000_t202" style="position:absolute;margin-left:40.4pt;margin-top:17.45pt;width:24.25pt;height:20.2pt;z-index:251686912">
            <v:textbox style="mso-next-textbox:#_x0000_s1095">
              <w:txbxContent>
                <w:p w:rsidR="00DD15E9" w:rsidRPr="002A6D8F" w:rsidRDefault="00DD15E9" w:rsidP="00DD15E9">
                  <w:pPr>
                    <w:rPr>
                      <w:lang w:val="en-GB"/>
                    </w:rPr>
                  </w:pPr>
                  <w:r>
                    <w:rPr>
                      <w:lang w:val="en-GB"/>
                    </w:rPr>
                    <w:t>Bo</w:t>
                  </w:r>
                </w:p>
              </w:txbxContent>
            </v:textbox>
          </v:shape>
        </w:pict>
      </w:r>
      <w:r>
        <w:rPr>
          <w:noProof/>
          <w:lang w:val="en-GB" w:eastAsia="en-GB"/>
        </w:rPr>
        <w:pict>
          <v:rect id="_x0000_s1094" style="position:absolute;margin-left:33.1pt;margin-top:9.35pt;width:461.9pt;height:245.1pt;z-index:251685888"/>
        </w:pict>
      </w:r>
      <w:r>
        <w:rPr>
          <w:noProof/>
          <w:lang w:val="en-GB" w:eastAsia="en-GB"/>
        </w:rPr>
        <w:pict>
          <v:shape id="_x0000_s1110" type="#_x0000_t202" style="position:absolute;margin-left:113.9pt;margin-top:219.55pt;width:24.25pt;height:20.2pt;z-index:251702272">
            <v:textbox style="mso-next-textbox:#_x0000_s1110">
              <w:txbxContent>
                <w:p w:rsidR="00DD15E9" w:rsidRPr="002A6D8F" w:rsidRDefault="00DD15E9" w:rsidP="00DD15E9">
                  <w:pPr>
                    <w:rPr>
                      <w:lang w:val="en-GB"/>
                    </w:rPr>
                  </w:pPr>
                  <w:r>
                    <w:rPr>
                      <w:lang w:val="en-GB"/>
                    </w:rPr>
                    <w:t>HTo</w:t>
                  </w:r>
                </w:p>
              </w:txbxContent>
            </v:textbox>
          </v:shape>
        </w:pict>
      </w:r>
    </w:p>
    <w:p w:rsidR="00DD15E9" w:rsidRDefault="00DD15E9" w:rsidP="00DD15E9">
      <w:pPr>
        <w:rPr>
          <w:lang w:val="en-GB"/>
        </w:rPr>
      </w:pPr>
    </w:p>
    <w:p w:rsidR="00DD15E9" w:rsidRDefault="00DD15E9" w:rsidP="00DD15E9">
      <w:pPr>
        <w:rPr>
          <w:lang w:val="en-GB"/>
        </w:rPr>
      </w:pPr>
    </w:p>
    <w:p w:rsidR="00DD15E9" w:rsidRDefault="00DD15E9" w:rsidP="00DD15E9">
      <w:pPr>
        <w:rPr>
          <w:lang w:val="en-GB"/>
        </w:rPr>
      </w:pPr>
    </w:p>
    <w:p w:rsidR="00DD15E9" w:rsidRDefault="00DD15E9" w:rsidP="00DD15E9">
      <w:pPr>
        <w:rPr>
          <w:lang w:val="en-GB"/>
        </w:rPr>
      </w:pPr>
    </w:p>
    <w:p w:rsidR="00DD15E9" w:rsidRDefault="00DD15E9" w:rsidP="00DD15E9">
      <w:pPr>
        <w:rPr>
          <w:lang w:val="en-GB"/>
        </w:rPr>
      </w:pPr>
    </w:p>
    <w:p w:rsidR="00DD15E9" w:rsidRDefault="00DD15E9" w:rsidP="00DD15E9">
      <w:pPr>
        <w:rPr>
          <w:lang w:val="en-GB"/>
        </w:rPr>
      </w:pPr>
    </w:p>
    <w:p w:rsidR="00DD15E9" w:rsidRDefault="00DD15E9" w:rsidP="00DD15E9">
      <w:pPr>
        <w:rPr>
          <w:lang w:val="en-GB"/>
        </w:rPr>
      </w:pPr>
    </w:p>
    <w:p w:rsidR="00DD15E9" w:rsidRDefault="00DD15E9" w:rsidP="00DD15E9">
      <w:pPr>
        <w:rPr>
          <w:lang w:val="en-GB"/>
        </w:rPr>
      </w:pPr>
    </w:p>
    <w:p w:rsidR="00DD15E9" w:rsidRDefault="00DD15E9" w:rsidP="00DD15E9">
      <w:pPr>
        <w:rPr>
          <w:lang w:val="en-GB"/>
        </w:rPr>
      </w:pPr>
    </w:p>
    <w:p w:rsidR="00DD15E9" w:rsidRPr="00DD15E9" w:rsidRDefault="00DD15E9" w:rsidP="00DD15E9">
      <w:pPr>
        <w:jc w:val="center"/>
        <w:rPr>
          <w:lang w:val="en-GB"/>
        </w:rPr>
      </w:pPr>
      <w:r>
        <w:rPr>
          <w:lang w:val="en-GB"/>
        </w:rPr>
        <w:t>Figure 4</w:t>
      </w:r>
    </w:p>
    <w:p w:rsidR="002A6D8F" w:rsidRDefault="00E635C4" w:rsidP="00F41DD3">
      <w:pPr>
        <w:pStyle w:val="ListParagraph"/>
        <w:numPr>
          <w:ilvl w:val="0"/>
          <w:numId w:val="12"/>
        </w:numPr>
        <w:rPr>
          <w:lang w:val="en-GB"/>
        </w:rPr>
      </w:pPr>
      <w:r>
        <w:rPr>
          <w:lang w:val="en-GB"/>
        </w:rPr>
        <w:t>Underlying is: The desktop is a virtual grid</w:t>
      </w:r>
      <w:r w:rsidR="004A60ED">
        <w:rPr>
          <w:lang w:val="en-GB"/>
        </w:rPr>
        <w:t xml:space="preserve"> </w:t>
      </w:r>
      <w:r w:rsidR="00DD15E9">
        <w:rPr>
          <w:rStyle w:val="FootnoteReference"/>
          <w:lang w:val="en-GB"/>
        </w:rPr>
        <w:footnoteReference w:id="2"/>
      </w:r>
      <w:r w:rsidR="004A60ED">
        <w:rPr>
          <w:lang w:val="en-GB"/>
        </w:rPr>
        <w:t xml:space="preserve"> </w:t>
      </w:r>
      <w:r>
        <w:rPr>
          <w:lang w:val="en-GB"/>
        </w:rPr>
        <w:t xml:space="preserve">with small icons. (in that case if EVERY  </w:t>
      </w:r>
      <w:r w:rsidR="00BD4AAA">
        <w:rPr>
          <w:lang w:val="en-GB"/>
        </w:rPr>
        <w:t>window is shra</w:t>
      </w:r>
      <w:r>
        <w:rPr>
          <w:lang w:val="en-GB"/>
        </w:rPr>
        <w:t>nk to its minimal size).</w:t>
      </w:r>
      <w:r w:rsidR="00101D14">
        <w:rPr>
          <w:lang w:val="en-GB"/>
        </w:rPr>
        <w:t xml:space="preserve"> We call this view as the </w:t>
      </w:r>
      <w:r w:rsidR="00101D14" w:rsidRPr="002A6D8F">
        <w:rPr>
          <w:b/>
          <w:lang w:val="en-GB"/>
        </w:rPr>
        <w:t>“Overview layout”.</w:t>
      </w:r>
      <w:r w:rsidR="00C83885">
        <w:rPr>
          <w:b/>
          <w:lang w:val="en-GB"/>
        </w:rPr>
        <w:t xml:space="preserve"> (Figure 4)</w:t>
      </w:r>
      <w:r w:rsidR="00101D14">
        <w:rPr>
          <w:lang w:val="en-GB"/>
        </w:rPr>
        <w:br/>
      </w:r>
      <w:r>
        <w:rPr>
          <w:lang w:val="en-GB"/>
        </w:rPr>
        <w:t xml:space="preserve"> In the </w:t>
      </w:r>
      <w:r w:rsidR="00C83885">
        <w:rPr>
          <w:lang w:val="en-GB"/>
        </w:rPr>
        <w:t xml:space="preserve">Brooke’s </w:t>
      </w:r>
      <w:r>
        <w:rPr>
          <w:lang w:val="en-GB"/>
        </w:rPr>
        <w:t xml:space="preserve">example that is described </w:t>
      </w:r>
      <w:r w:rsidR="00C45A01">
        <w:rPr>
          <w:lang w:val="en-GB"/>
        </w:rPr>
        <w:t>by</w:t>
      </w:r>
      <w:r>
        <w:rPr>
          <w:lang w:val="en-GB"/>
        </w:rPr>
        <w:t xml:space="preserve"> the </w:t>
      </w:r>
      <w:r w:rsidR="00DD15E9">
        <w:rPr>
          <w:lang w:val="en-GB"/>
        </w:rPr>
        <w:t>sketches, there</w:t>
      </w:r>
      <w:r>
        <w:rPr>
          <w:lang w:val="en-GB"/>
        </w:rPr>
        <w:t xml:space="preserve"> are 3 virtual columns:</w:t>
      </w:r>
      <w:r w:rsidR="002A6D8F">
        <w:rPr>
          <w:lang w:val="en-GB"/>
        </w:rPr>
        <w:t xml:space="preserve"> </w:t>
      </w:r>
    </w:p>
    <w:p w:rsidR="00E635C4" w:rsidRDefault="002A6D8F" w:rsidP="002A6D8F">
      <w:pPr>
        <w:pStyle w:val="ListParagraph"/>
        <w:numPr>
          <w:ilvl w:val="1"/>
          <w:numId w:val="12"/>
        </w:numPr>
        <w:rPr>
          <w:lang w:val="en-GB"/>
        </w:rPr>
      </w:pPr>
      <w:r>
        <w:rPr>
          <w:lang w:val="en-GB"/>
        </w:rPr>
        <w:t>“Bourse”, Eparnage, Eotils Ets, Life Style</w:t>
      </w:r>
    </w:p>
    <w:p w:rsidR="002A6D8F" w:rsidRDefault="002A6D8F" w:rsidP="002A6D8F">
      <w:pPr>
        <w:pStyle w:val="ListParagraph"/>
        <w:numPr>
          <w:ilvl w:val="1"/>
          <w:numId w:val="12"/>
        </w:numPr>
        <w:rPr>
          <w:lang w:val="en-GB"/>
        </w:rPr>
      </w:pPr>
      <w:r>
        <w:rPr>
          <w:lang w:val="en-GB"/>
        </w:rPr>
        <w:t>Indices, Futures, Petrole, Indices International</w:t>
      </w:r>
    </w:p>
    <w:p w:rsidR="00C466FE" w:rsidRDefault="002A6D8F" w:rsidP="00C466FE">
      <w:pPr>
        <w:pStyle w:val="ListParagraph"/>
        <w:numPr>
          <w:ilvl w:val="1"/>
          <w:numId w:val="12"/>
        </w:numPr>
        <w:spacing w:after="0"/>
        <w:rPr>
          <w:rFonts w:ascii="Calibri" w:hAnsi="Calibri"/>
          <w:color w:val="FF0000"/>
        </w:rPr>
      </w:pPr>
      <w:r>
        <w:rPr>
          <w:lang w:val="en-GB"/>
        </w:rPr>
        <w:t>A, B, C, D, ... H</w:t>
      </w:r>
      <w:r w:rsidR="00C466FE">
        <w:rPr>
          <w:lang w:val="en-GB"/>
        </w:rPr>
        <w:br/>
      </w:r>
      <w:r w:rsidR="00C466FE">
        <w:rPr>
          <w:rFonts w:ascii="Calibri" w:eastAsia="Calibri" w:hAnsi="Calibri" w:cs="Calibri"/>
          <w:color w:val="FF0000"/>
        </w:rPr>
        <w:t>-</w:t>
      </w:r>
      <w:r w:rsidR="00C466FE">
        <w:rPr>
          <w:rFonts w:eastAsia="Calibri"/>
          <w:color w:val="FF0000"/>
          <w:sz w:val="14"/>
          <w:szCs w:val="14"/>
        </w:rPr>
        <w:t xml:space="preserve">          </w:t>
      </w:r>
      <w:r w:rsidR="00C466FE">
        <w:rPr>
          <w:rFonts w:ascii="Calibri" w:hAnsi="Calibri"/>
          <w:color w:val="FF0000"/>
        </w:rPr>
        <w:t xml:space="preserve">The sketch is a little misleading In  principle they have to migrate to the periphery even to the four side of the screen to be accessible </w:t>
      </w:r>
      <w:r w:rsidR="00C466FE">
        <w:rPr>
          <w:rFonts w:ascii="Calibri" w:hAnsi="Calibri"/>
          <w:b/>
          <w:color w:val="FF0000"/>
        </w:rPr>
        <w:t>but to do not occlude  the opened ‘window’</w:t>
      </w:r>
    </w:p>
    <w:p w:rsidR="002A6D8F" w:rsidRDefault="002A6D8F" w:rsidP="00C466FE">
      <w:pPr>
        <w:pStyle w:val="ListParagraph"/>
        <w:ind w:left="1440"/>
        <w:rPr>
          <w:lang w:val="en-GB"/>
        </w:rPr>
      </w:pPr>
    </w:p>
    <w:p w:rsidR="00094B45" w:rsidRDefault="00094B45" w:rsidP="00094B45">
      <w:pPr>
        <w:pStyle w:val="ListParagraph"/>
        <w:numPr>
          <w:ilvl w:val="0"/>
          <w:numId w:val="12"/>
        </w:numPr>
        <w:rPr>
          <w:lang w:val="en-GB"/>
        </w:rPr>
      </w:pPr>
      <w:r>
        <w:rPr>
          <w:lang w:val="en-GB"/>
        </w:rPr>
        <w:t>Small windows have a minimal size (for example Vista desktop icon-size is 64x64). The user cannot shrink them further than 64x64pixel.</w:t>
      </w:r>
    </w:p>
    <w:p w:rsidR="00094B45" w:rsidRDefault="00DD20F4" w:rsidP="00F41DD3">
      <w:pPr>
        <w:pStyle w:val="ListParagraph"/>
        <w:numPr>
          <w:ilvl w:val="0"/>
          <w:numId w:val="12"/>
        </w:numPr>
        <w:rPr>
          <w:lang w:val="en-GB"/>
        </w:rPr>
      </w:pPr>
      <w:r>
        <w:rPr>
          <w:lang w:val="en-GB"/>
        </w:rPr>
        <w:t>However, the user can Close them</w:t>
      </w:r>
    </w:p>
    <w:p w:rsidR="00DD20F4" w:rsidRDefault="00DD20F4" w:rsidP="00DD20F4">
      <w:pPr>
        <w:pStyle w:val="ListParagraph"/>
        <w:numPr>
          <w:ilvl w:val="0"/>
          <w:numId w:val="12"/>
        </w:numPr>
        <w:rPr>
          <w:lang w:val="en-GB"/>
        </w:rPr>
      </w:pPr>
      <w:r>
        <w:rPr>
          <w:lang w:val="en-GB"/>
        </w:rPr>
        <w:t xml:space="preserve">There is a context menu for every window: with a Close menu item </w:t>
      </w:r>
      <w:r w:rsidR="00CB4E7A">
        <w:rPr>
          <w:lang w:val="en-GB"/>
        </w:rPr>
        <w:t>(call it Close, and not Hide)</w:t>
      </w:r>
    </w:p>
    <w:p w:rsidR="00DD20F4" w:rsidRDefault="00DD20F4" w:rsidP="00F41DD3">
      <w:pPr>
        <w:pStyle w:val="ListParagraph"/>
        <w:numPr>
          <w:ilvl w:val="0"/>
          <w:numId w:val="12"/>
        </w:numPr>
        <w:rPr>
          <w:lang w:val="en-GB"/>
        </w:rPr>
      </w:pPr>
      <w:r w:rsidRPr="00DD20F4">
        <w:rPr>
          <w:lang w:val="en-GB"/>
        </w:rPr>
        <w:t xml:space="preserve">there will be no </w:t>
      </w:r>
      <w:r w:rsidR="00F62B79">
        <w:rPr>
          <w:lang w:val="en-GB"/>
        </w:rPr>
        <w:t xml:space="preserve">obligatory </w:t>
      </w:r>
      <w:r>
        <w:rPr>
          <w:lang w:val="en-GB"/>
        </w:rPr>
        <w:t xml:space="preserve">window header (titlebar) </w:t>
      </w:r>
      <w:r w:rsidR="00F62B79">
        <w:rPr>
          <w:lang w:val="en-GB"/>
        </w:rPr>
        <w:t xml:space="preserve">for the windows </w:t>
      </w:r>
      <w:r>
        <w:rPr>
          <w:lang w:val="en-GB"/>
        </w:rPr>
        <w:t xml:space="preserve">and therefore there </w:t>
      </w:r>
      <w:r w:rsidR="00F62B79">
        <w:rPr>
          <w:lang w:val="en-GB"/>
        </w:rPr>
        <w:t>may</w:t>
      </w:r>
      <w:r>
        <w:rPr>
          <w:lang w:val="en-GB"/>
        </w:rPr>
        <w:t xml:space="preserve"> be no “</w:t>
      </w:r>
      <w:r w:rsidRPr="00DD20F4">
        <w:rPr>
          <w:lang w:val="en-GB"/>
        </w:rPr>
        <w:t>Close icon</w:t>
      </w:r>
      <w:r>
        <w:rPr>
          <w:lang w:val="en-GB"/>
        </w:rPr>
        <w:t>”, (the sign “X”)</w:t>
      </w:r>
      <w:r w:rsidRPr="00DD20F4">
        <w:rPr>
          <w:lang w:val="en-GB"/>
        </w:rPr>
        <w:t xml:space="preserve"> </w:t>
      </w:r>
      <w:r w:rsidR="000D26A6">
        <w:rPr>
          <w:lang w:val="en-GB"/>
        </w:rPr>
        <w:t xml:space="preserve"> in the title bar</w:t>
      </w:r>
    </w:p>
    <w:p w:rsidR="005853F3" w:rsidRDefault="005853F3" w:rsidP="005853F3">
      <w:pPr>
        <w:pStyle w:val="ListParagraph"/>
        <w:numPr>
          <w:ilvl w:val="0"/>
          <w:numId w:val="12"/>
        </w:numPr>
        <w:spacing w:after="0"/>
        <w:rPr>
          <w:rFonts w:ascii="Calibri" w:hAnsi="Calibri"/>
        </w:rPr>
      </w:pPr>
      <w:r>
        <w:rPr>
          <w:rFonts w:ascii="Calibri" w:eastAsia="Calibri" w:hAnsi="Calibri" w:cs="Calibri"/>
        </w:rPr>
        <w:t>-</w:t>
      </w:r>
      <w:r>
        <w:rPr>
          <w:rFonts w:eastAsia="Calibri"/>
          <w:sz w:val="14"/>
          <w:szCs w:val="14"/>
        </w:rPr>
        <w:t xml:space="preserve">          </w:t>
      </w:r>
      <w:r>
        <w:rPr>
          <w:rFonts w:ascii="Calibri" w:hAnsi="Calibri"/>
        </w:rPr>
        <w:t xml:space="preserve"> </w:t>
      </w:r>
      <w:r>
        <w:rPr>
          <w:rFonts w:ascii="Calibri" w:hAnsi="Calibri"/>
          <w:color w:val="FF0000"/>
        </w:rPr>
        <w:t>Good</w:t>
      </w:r>
    </w:p>
    <w:p w:rsidR="005853F3" w:rsidRPr="00DD20F4" w:rsidRDefault="005853F3" w:rsidP="00F41DD3">
      <w:pPr>
        <w:pStyle w:val="ListParagraph"/>
        <w:numPr>
          <w:ilvl w:val="0"/>
          <w:numId w:val="12"/>
        </w:numPr>
        <w:rPr>
          <w:lang w:val="en-GB"/>
        </w:rPr>
      </w:pPr>
    </w:p>
    <w:p w:rsidR="00DD20F4" w:rsidRDefault="008B16B8" w:rsidP="00F41DD3">
      <w:pPr>
        <w:pStyle w:val="ListParagraph"/>
        <w:numPr>
          <w:ilvl w:val="0"/>
          <w:numId w:val="12"/>
        </w:numPr>
        <w:rPr>
          <w:lang w:val="en-GB"/>
        </w:rPr>
      </w:pPr>
      <w:r>
        <w:rPr>
          <w:lang w:val="en-GB"/>
        </w:rPr>
        <w:t>There is a general Window Context Menu, where the user can switch on/off windows (Close them or add to the desktop)</w:t>
      </w:r>
      <w:r w:rsidR="00101D14">
        <w:rPr>
          <w:lang w:val="en-GB"/>
        </w:rPr>
        <w:t>. Other menu items: “Default layout”, Save Layout, Load layout, Overview layout.</w:t>
      </w:r>
    </w:p>
    <w:p w:rsidR="002A6D8F" w:rsidRDefault="002A6D8F" w:rsidP="00F41DD3">
      <w:pPr>
        <w:pStyle w:val="ListParagraph"/>
        <w:numPr>
          <w:ilvl w:val="0"/>
          <w:numId w:val="12"/>
        </w:numPr>
        <w:rPr>
          <w:lang w:val="en-GB"/>
        </w:rPr>
      </w:pPr>
      <w:r>
        <w:rPr>
          <w:lang w:val="en-GB"/>
        </w:rPr>
        <w:t>In the Overview Layout</w:t>
      </w:r>
      <w:r w:rsidR="002605E7">
        <w:rPr>
          <w:lang w:val="en-GB"/>
        </w:rPr>
        <w:t>, the user can drag&amp;drop icons to another place, to another column (like in Vista/WindowXP desktop)</w:t>
      </w:r>
    </w:p>
    <w:p w:rsidR="005853F3" w:rsidRDefault="005853F3" w:rsidP="00F41DD3">
      <w:pPr>
        <w:pStyle w:val="ListParagraph"/>
        <w:numPr>
          <w:ilvl w:val="0"/>
          <w:numId w:val="12"/>
        </w:numPr>
        <w:rPr>
          <w:lang w:val="en-GB"/>
        </w:rPr>
      </w:pPr>
      <w:r>
        <w:rPr>
          <w:rFonts w:ascii="Calibri" w:hAnsi="Calibri"/>
          <w:color w:val="FF0000"/>
        </w:rPr>
        <w:t>what would be the use if it is not possible to reorganize the windows?</w:t>
      </w:r>
    </w:p>
    <w:p w:rsidR="00965014" w:rsidRDefault="00965014" w:rsidP="00F41DD3">
      <w:pPr>
        <w:pStyle w:val="ListParagraph"/>
        <w:numPr>
          <w:ilvl w:val="0"/>
          <w:numId w:val="12"/>
        </w:numPr>
        <w:rPr>
          <w:lang w:val="en-GB"/>
        </w:rPr>
      </w:pPr>
      <w:r>
        <w:rPr>
          <w:lang w:val="en-GB"/>
        </w:rPr>
        <w:t>When the mouse hovers on the background and the user scrolls with the mouse wheel nothing will happen</w:t>
      </w:r>
    </w:p>
    <w:p w:rsidR="00965014" w:rsidRDefault="00965014" w:rsidP="00965014">
      <w:pPr>
        <w:pStyle w:val="ListParagraph"/>
        <w:numPr>
          <w:ilvl w:val="0"/>
          <w:numId w:val="12"/>
        </w:numPr>
        <w:rPr>
          <w:lang w:val="en-GB"/>
        </w:rPr>
      </w:pPr>
      <w:r>
        <w:rPr>
          <w:lang w:val="en-GB"/>
        </w:rPr>
        <w:t>When the mouse hovers on a window and the user scrolls with the mouse wheel the window is resized and moved towards the target space (that is the centre).</w:t>
      </w:r>
    </w:p>
    <w:p w:rsidR="00965014" w:rsidRDefault="00965014" w:rsidP="00965014">
      <w:pPr>
        <w:pStyle w:val="ListParagraph"/>
        <w:numPr>
          <w:ilvl w:val="0"/>
          <w:numId w:val="12"/>
        </w:numPr>
        <w:rPr>
          <w:lang w:val="en-GB"/>
        </w:rPr>
      </w:pPr>
      <w:r>
        <w:rPr>
          <w:lang w:val="en-GB"/>
        </w:rPr>
        <w:lastRenderedPageBreak/>
        <w:t xml:space="preserve">At the same time, the other windows will be notified </w:t>
      </w:r>
      <w:r w:rsidR="00DA17ED">
        <w:rPr>
          <w:lang w:val="en-GB"/>
        </w:rPr>
        <w:t xml:space="preserve">about </w:t>
      </w:r>
      <w:r>
        <w:rPr>
          <w:lang w:val="en-GB"/>
        </w:rPr>
        <w:t>that, and they move out of the way</w:t>
      </w:r>
      <w:r w:rsidR="003E0884">
        <w:rPr>
          <w:lang w:val="en-GB"/>
        </w:rPr>
        <w:t xml:space="preserve"> (difficult implementation)</w:t>
      </w:r>
    </w:p>
    <w:p w:rsidR="005853F3" w:rsidRPr="005853F3" w:rsidRDefault="000F32EC" w:rsidP="005853F3">
      <w:pPr>
        <w:pStyle w:val="ListParagraph"/>
        <w:numPr>
          <w:ilvl w:val="0"/>
          <w:numId w:val="12"/>
        </w:numPr>
        <w:spacing w:after="0"/>
        <w:rPr>
          <w:rFonts w:ascii="Calibri" w:hAnsi="Calibri"/>
          <w:color w:val="FF0000"/>
        </w:rPr>
      </w:pPr>
      <w:r w:rsidRPr="005853F3">
        <w:rPr>
          <w:lang w:val="en-GB"/>
        </w:rPr>
        <w:t xml:space="preserve">The minimized windows </w:t>
      </w:r>
      <w:r w:rsidR="005F7257" w:rsidRPr="005853F3">
        <w:rPr>
          <w:lang w:val="en-GB"/>
        </w:rPr>
        <w:t>are</w:t>
      </w:r>
      <w:r w:rsidRPr="005853F3">
        <w:rPr>
          <w:lang w:val="en-GB"/>
        </w:rPr>
        <w:t xml:space="preserve"> rendered with only a </w:t>
      </w:r>
      <w:r w:rsidR="005F7257" w:rsidRPr="005853F3">
        <w:rPr>
          <w:lang w:val="en-GB"/>
        </w:rPr>
        <w:t xml:space="preserve">character of alphabet </w:t>
      </w:r>
      <w:r w:rsidRPr="005853F3">
        <w:rPr>
          <w:lang w:val="en-GB"/>
        </w:rPr>
        <w:t>in the Brooke’</w:t>
      </w:r>
      <w:r w:rsidR="00B24E9D" w:rsidRPr="005853F3">
        <w:rPr>
          <w:lang w:val="en-GB"/>
        </w:rPr>
        <w:t xml:space="preserve">s sketches. However, we </w:t>
      </w:r>
      <w:r w:rsidRPr="005853F3">
        <w:rPr>
          <w:lang w:val="en-GB"/>
        </w:rPr>
        <w:t>advice to change this to small graphics icons. (can be transparent, cute, semi-3D images)</w:t>
      </w:r>
      <w:r w:rsidR="005853F3" w:rsidRPr="005853F3">
        <w:rPr>
          <w:lang w:val="en-GB"/>
        </w:rPr>
        <w:br/>
      </w:r>
      <w:r w:rsidR="005853F3" w:rsidRPr="005853F3">
        <w:rPr>
          <w:rFonts w:ascii="Calibri" w:hAnsi="Calibri"/>
          <w:color w:val="FF0000"/>
        </w:rPr>
        <w:t>yes but we have to create them first.</w:t>
      </w:r>
    </w:p>
    <w:p w:rsidR="005853F3" w:rsidRPr="005853F3" w:rsidRDefault="005853F3" w:rsidP="005853F3">
      <w:pPr>
        <w:pStyle w:val="ListParagraph"/>
        <w:numPr>
          <w:ilvl w:val="0"/>
          <w:numId w:val="12"/>
        </w:numPr>
        <w:spacing w:after="0"/>
        <w:rPr>
          <w:rFonts w:ascii="Calibri" w:hAnsi="Calibri"/>
          <w:color w:val="FF0000"/>
        </w:rPr>
      </w:pPr>
      <w:r w:rsidRPr="005853F3">
        <w:rPr>
          <w:rFonts w:ascii="Calibri" w:eastAsia="Calibri" w:hAnsi="Calibri" w:cs="Calibri"/>
          <w:color w:val="FF0000"/>
        </w:rPr>
        <w:t>-</w:t>
      </w:r>
      <w:r w:rsidRPr="005853F3">
        <w:rPr>
          <w:rFonts w:eastAsia="Calibri"/>
          <w:color w:val="FF0000"/>
          <w:sz w:val="14"/>
          <w:szCs w:val="14"/>
        </w:rPr>
        <w:t xml:space="preserve">          </w:t>
      </w:r>
      <w:r w:rsidRPr="005853F3">
        <w:rPr>
          <w:rFonts w:ascii="Calibri" w:hAnsi="Calibri"/>
          <w:color w:val="FF0000"/>
        </w:rPr>
        <w:t>I like the title bars like ‘market summary’ which pop up with mouse over to then be magnified</w:t>
      </w:r>
    </w:p>
    <w:p w:rsidR="005853F3" w:rsidRPr="005853F3" w:rsidRDefault="005853F3" w:rsidP="005853F3">
      <w:pPr>
        <w:pStyle w:val="ListParagraph"/>
        <w:numPr>
          <w:ilvl w:val="0"/>
          <w:numId w:val="12"/>
        </w:numPr>
        <w:spacing w:after="0"/>
        <w:rPr>
          <w:rFonts w:ascii="Calibri" w:hAnsi="Calibri"/>
          <w:color w:val="FF0000"/>
        </w:rPr>
      </w:pPr>
      <w:r w:rsidRPr="005853F3">
        <w:rPr>
          <w:rFonts w:ascii="Calibri" w:eastAsia="Calibri" w:hAnsi="Calibri" w:cs="Calibri"/>
          <w:color w:val="FF0000"/>
        </w:rPr>
        <w:t>-</w:t>
      </w:r>
      <w:r w:rsidRPr="005853F3">
        <w:rPr>
          <w:rFonts w:eastAsia="Calibri"/>
          <w:color w:val="FF0000"/>
          <w:sz w:val="14"/>
          <w:szCs w:val="14"/>
        </w:rPr>
        <w:t xml:space="preserve">          </w:t>
      </w:r>
      <w:r w:rsidRPr="005853F3">
        <w:rPr>
          <w:rFonts w:ascii="Calibri" w:hAnsi="Calibri"/>
          <w:color w:val="FF0000"/>
        </w:rPr>
        <w:t>These small icons will change to a window title bar when they are magnified</w:t>
      </w:r>
    </w:p>
    <w:p w:rsidR="005853F3" w:rsidRDefault="005853F3" w:rsidP="00965014">
      <w:pPr>
        <w:pStyle w:val="ListParagraph"/>
        <w:numPr>
          <w:ilvl w:val="0"/>
          <w:numId w:val="12"/>
        </w:numPr>
        <w:rPr>
          <w:lang w:val="en-GB"/>
        </w:rPr>
      </w:pPr>
    </w:p>
    <w:p w:rsidR="000F32EC" w:rsidRPr="00965014" w:rsidRDefault="00F86240" w:rsidP="00965014">
      <w:pPr>
        <w:pStyle w:val="ListParagraph"/>
        <w:numPr>
          <w:ilvl w:val="0"/>
          <w:numId w:val="12"/>
        </w:numPr>
        <w:rPr>
          <w:lang w:val="en-GB"/>
        </w:rPr>
      </w:pPr>
      <w:r>
        <w:rPr>
          <w:lang w:val="en-GB"/>
        </w:rPr>
        <w:t>These small icons</w:t>
      </w:r>
      <w:r w:rsidR="000F32EC">
        <w:rPr>
          <w:lang w:val="en-GB"/>
        </w:rPr>
        <w:t xml:space="preserve"> will change to a window title bar when </w:t>
      </w:r>
      <w:r>
        <w:rPr>
          <w:lang w:val="en-GB"/>
        </w:rPr>
        <w:t>they are</w:t>
      </w:r>
      <w:r w:rsidR="000F32EC">
        <w:rPr>
          <w:lang w:val="en-GB"/>
        </w:rPr>
        <w:t xml:space="preserve"> magnified. The title</w:t>
      </w:r>
      <w:r>
        <w:rPr>
          <w:lang w:val="en-GB"/>
        </w:rPr>
        <w:t xml:space="preserve"> </w:t>
      </w:r>
      <w:r w:rsidR="000F32EC">
        <w:rPr>
          <w:lang w:val="en-GB"/>
        </w:rPr>
        <w:t>bar may show the Name of the window (with abbreviations). The framework will not supervise this concept, so, there will be not obligator</w:t>
      </w:r>
      <w:r w:rsidR="00356D64">
        <w:rPr>
          <w:lang w:val="en-GB"/>
        </w:rPr>
        <w:t xml:space="preserve">y </w:t>
      </w:r>
      <w:r w:rsidR="000F32EC">
        <w:rPr>
          <w:lang w:val="en-GB"/>
        </w:rPr>
        <w:t xml:space="preserve">for every window in this desktop to have a “title”. </w:t>
      </w:r>
      <w:r w:rsidR="00386D1D">
        <w:rPr>
          <w:lang w:val="en-GB"/>
        </w:rPr>
        <w:t>The design</w:t>
      </w:r>
      <w:r w:rsidR="000F32EC">
        <w:rPr>
          <w:lang w:val="en-GB"/>
        </w:rPr>
        <w:t xml:space="preserve"> is more general this way, but it means that every window is responsible for their title bar, so it is a little bit more work for every window implementation, but it is negligible.</w:t>
      </w:r>
    </w:p>
    <w:p w:rsidR="00965014" w:rsidRDefault="00965014" w:rsidP="00F41DD3">
      <w:pPr>
        <w:pStyle w:val="ListParagraph"/>
        <w:numPr>
          <w:ilvl w:val="0"/>
          <w:numId w:val="12"/>
        </w:numPr>
        <w:rPr>
          <w:lang w:val="en-GB"/>
        </w:rPr>
      </w:pPr>
      <w:r>
        <w:rPr>
          <w:lang w:val="en-GB"/>
        </w:rPr>
        <w:t>I envisage that we experiment to implement this framework in a separate PoC (Proof of Concept) program. That would speed up the development comparing to doing the experiments (some dead-ends and backtracks) in HQ Desktop.</w:t>
      </w:r>
    </w:p>
    <w:p w:rsidR="00DD6313" w:rsidRDefault="00DD6313" w:rsidP="00DD6313">
      <w:pPr>
        <w:pStyle w:val="ListParagraph"/>
        <w:numPr>
          <w:ilvl w:val="0"/>
          <w:numId w:val="12"/>
        </w:numPr>
        <w:spacing w:after="0"/>
        <w:rPr>
          <w:rFonts w:ascii="Calibri" w:hAnsi="Calibri"/>
        </w:rPr>
      </w:pPr>
      <w:r>
        <w:rPr>
          <w:rFonts w:ascii="Calibri" w:eastAsia="Calibri" w:hAnsi="Calibri" w:cs="Calibri"/>
        </w:rPr>
        <w:t>-</w:t>
      </w:r>
      <w:r>
        <w:rPr>
          <w:rFonts w:eastAsia="Calibri"/>
          <w:sz w:val="14"/>
          <w:szCs w:val="14"/>
        </w:rPr>
        <w:t xml:space="preserve">          </w:t>
      </w:r>
      <w:r>
        <w:rPr>
          <w:rFonts w:ascii="Calibri" w:hAnsi="Calibri"/>
          <w:color w:val="FF0000"/>
        </w:rPr>
        <w:t>Quite wise</w:t>
      </w:r>
    </w:p>
    <w:p w:rsidR="00DD6313" w:rsidRDefault="00DD6313" w:rsidP="00F41DD3">
      <w:pPr>
        <w:pStyle w:val="ListParagraph"/>
        <w:numPr>
          <w:ilvl w:val="0"/>
          <w:numId w:val="12"/>
        </w:numPr>
        <w:rPr>
          <w:lang w:val="en-GB"/>
        </w:rPr>
      </w:pPr>
    </w:p>
    <w:p w:rsidR="00DD6313" w:rsidRDefault="00804AE6" w:rsidP="00F41DD3">
      <w:pPr>
        <w:pStyle w:val="ListParagraph"/>
        <w:numPr>
          <w:ilvl w:val="0"/>
          <w:numId w:val="12"/>
        </w:numPr>
        <w:rPr>
          <w:lang w:val="en-GB"/>
        </w:rPr>
      </w:pPr>
      <w:r>
        <w:rPr>
          <w:lang w:val="en-GB"/>
        </w:rPr>
        <w:t xml:space="preserve">Important! We emphasize that in this concept the user cannot move (drag&amp;drop) windows across the screen, cannot change the location of them in general magnified view. However, it is possible to change the location of the window icons in Overview Layout. </w:t>
      </w:r>
    </w:p>
    <w:p w:rsidR="00DD6313" w:rsidRDefault="00DD6313" w:rsidP="00DD6313">
      <w:pPr>
        <w:pStyle w:val="ListParagraph"/>
        <w:spacing w:after="0"/>
        <w:ind w:hanging="360"/>
        <w:rPr>
          <w:rFonts w:ascii="Calibri" w:hAnsi="Calibri"/>
        </w:rPr>
      </w:pPr>
      <w:r>
        <w:rPr>
          <w:rFonts w:ascii="Calibri" w:eastAsia="Calibri" w:hAnsi="Calibri" w:cs="Calibri"/>
        </w:rPr>
        <w:t>-</w:t>
      </w:r>
      <w:r>
        <w:rPr>
          <w:rFonts w:eastAsia="Calibri"/>
          <w:sz w:val="14"/>
          <w:szCs w:val="14"/>
        </w:rPr>
        <w:t xml:space="preserve">          </w:t>
      </w:r>
      <w:r>
        <w:rPr>
          <w:rFonts w:ascii="Calibri" w:hAnsi="Calibri"/>
          <w:color w:val="FF0000"/>
        </w:rPr>
        <w:t>I know that it seems a little bit  contradictory but In the context it is one page, one unified space with borderless windows</w:t>
      </w:r>
      <w:r>
        <w:rPr>
          <w:rFonts w:ascii="Calibri" w:hAnsi="Calibri"/>
        </w:rPr>
        <w:t>.</w:t>
      </w:r>
    </w:p>
    <w:p w:rsidR="00DD6313" w:rsidRDefault="00DD6313" w:rsidP="00DD6313">
      <w:pPr>
        <w:pStyle w:val="ListParagraph"/>
        <w:numPr>
          <w:ilvl w:val="0"/>
          <w:numId w:val="12"/>
        </w:numPr>
        <w:rPr>
          <w:lang w:val="en-GB"/>
        </w:rPr>
      </w:pPr>
      <w:r>
        <w:rPr>
          <w:rFonts w:ascii="Calibri" w:eastAsia="Calibri" w:hAnsi="Calibri" w:cs="Calibri"/>
        </w:rPr>
        <w:t>-</w:t>
      </w:r>
      <w:r>
        <w:rPr>
          <w:rFonts w:eastAsia="Calibri"/>
          <w:sz w:val="14"/>
          <w:szCs w:val="14"/>
        </w:rPr>
        <w:t xml:space="preserve">          </w:t>
      </w:r>
      <w:r>
        <w:rPr>
          <w:rFonts w:ascii="Calibri" w:hAnsi="Calibri"/>
          <w:color w:val="FF0000"/>
        </w:rPr>
        <w:t>Let’s try and see</w:t>
      </w:r>
      <w:r>
        <w:rPr>
          <w:rFonts w:ascii="Calibri" w:hAnsi="Calibri"/>
        </w:rPr>
        <w:t>.</w:t>
      </w:r>
    </w:p>
    <w:p w:rsidR="00804AE6" w:rsidRDefault="00804AE6" w:rsidP="00F41DD3">
      <w:pPr>
        <w:pStyle w:val="ListParagraph"/>
        <w:numPr>
          <w:ilvl w:val="0"/>
          <w:numId w:val="12"/>
        </w:numPr>
        <w:rPr>
          <w:lang w:val="en-GB"/>
        </w:rPr>
      </w:pPr>
      <w:r>
        <w:rPr>
          <w:lang w:val="en-GB"/>
        </w:rPr>
        <w:br/>
      </w:r>
      <w:r>
        <w:rPr>
          <w:lang w:val="en-GB"/>
        </w:rPr>
        <w:tab/>
        <w:t>We don’t know it is acceptable or not for the user. If it is acceptable, we see a way how to implement this. If it is not acceptable, we currently don’t see how to implement it; probably it will be very complicated. (but I never say that not possible)</w:t>
      </w:r>
    </w:p>
    <w:p w:rsidR="002706AC" w:rsidRDefault="002706AC" w:rsidP="00BF0F37">
      <w:pPr>
        <w:rPr>
          <w:lang w:val="en-GB"/>
        </w:rPr>
      </w:pPr>
    </w:p>
    <w:p w:rsidR="002706AC" w:rsidRDefault="002706AC" w:rsidP="00BF0F37">
      <w:pPr>
        <w:rPr>
          <w:lang w:val="en-GB"/>
        </w:rPr>
      </w:pPr>
    </w:p>
    <w:p w:rsidR="002706AC" w:rsidRDefault="002706AC" w:rsidP="00BF0F37">
      <w:pPr>
        <w:rPr>
          <w:lang w:val="en-GB"/>
        </w:rPr>
      </w:pPr>
    </w:p>
    <w:p w:rsidR="00BF0F37" w:rsidRDefault="00BF0F37" w:rsidP="006167B7">
      <w:pPr>
        <w:pStyle w:val="Heading2"/>
        <w:numPr>
          <w:ilvl w:val="0"/>
          <w:numId w:val="9"/>
        </w:numPr>
        <w:rPr>
          <w:lang w:val="en-GB"/>
        </w:rPr>
      </w:pPr>
      <w:r>
        <w:rPr>
          <w:lang w:val="en-GB"/>
        </w:rPr>
        <w:t>First Implementation suggestions</w:t>
      </w:r>
    </w:p>
    <w:p w:rsidR="002706AC" w:rsidRDefault="002706AC" w:rsidP="002706AC">
      <w:pPr>
        <w:ind w:left="360"/>
        <w:rPr>
          <w:lang w:val="en-GB"/>
        </w:rPr>
      </w:pPr>
    </w:p>
    <w:p w:rsidR="00844F89" w:rsidRPr="00D92E8C" w:rsidRDefault="00844F89" w:rsidP="002706AC">
      <w:pPr>
        <w:ind w:left="360"/>
        <w:rPr>
          <w:b/>
          <w:lang w:val="en-GB"/>
        </w:rPr>
      </w:pPr>
      <w:r w:rsidRPr="00D92E8C">
        <w:rPr>
          <w:b/>
          <w:lang w:val="en-GB"/>
        </w:rPr>
        <w:t xml:space="preserve">These are implementation considerations for </w:t>
      </w:r>
      <w:r w:rsidR="00FA4E34">
        <w:rPr>
          <w:b/>
          <w:lang w:val="en-GB"/>
        </w:rPr>
        <w:t>programmers</w:t>
      </w:r>
      <w:r w:rsidRPr="00D92E8C">
        <w:rPr>
          <w:b/>
          <w:lang w:val="en-GB"/>
        </w:rPr>
        <w:t>.</w:t>
      </w:r>
      <w:r w:rsidR="00D92E8C" w:rsidRPr="00D92E8C">
        <w:rPr>
          <w:b/>
          <w:lang w:val="en-GB"/>
        </w:rPr>
        <w:t xml:space="preserve"> </w:t>
      </w:r>
      <w:r w:rsidRPr="00D92E8C">
        <w:rPr>
          <w:b/>
          <w:lang w:val="en-GB"/>
        </w:rPr>
        <w:t>You may or may not read this section.</w:t>
      </w:r>
    </w:p>
    <w:p w:rsidR="004A2481" w:rsidRDefault="004A2481" w:rsidP="004A2481">
      <w:pPr>
        <w:pStyle w:val="ListParagraph"/>
        <w:rPr>
          <w:lang w:val="en-GB"/>
        </w:rPr>
      </w:pPr>
    </w:p>
    <w:p w:rsidR="004A2481" w:rsidRDefault="004A2481" w:rsidP="004A2481">
      <w:pPr>
        <w:pStyle w:val="ListParagraph"/>
        <w:numPr>
          <w:ilvl w:val="0"/>
          <w:numId w:val="13"/>
        </w:numPr>
        <w:rPr>
          <w:lang w:val="en-GB"/>
        </w:rPr>
      </w:pPr>
      <w:r>
        <w:rPr>
          <w:lang w:val="en-GB"/>
        </w:rPr>
        <w:lastRenderedPageBreak/>
        <w:t>We consider the separate columns as the building bricks of the system. A window cannot automatically change its virtual column. (</w:t>
      </w:r>
      <w:r w:rsidR="005B11E3">
        <w:rPr>
          <w:lang w:val="en-GB"/>
        </w:rPr>
        <w:t>Only</w:t>
      </w:r>
      <w:r>
        <w:rPr>
          <w:lang w:val="en-GB"/>
        </w:rPr>
        <w:t xml:space="preserve"> possible with user drag&amp;drop in Overview layout</w:t>
      </w:r>
      <w:r w:rsidR="007266CD">
        <w:rPr>
          <w:lang w:val="en-GB"/>
        </w:rPr>
        <w:t>, when everything is minified</w:t>
      </w:r>
      <w:r>
        <w:rPr>
          <w:lang w:val="en-GB"/>
        </w:rPr>
        <w:t>)</w:t>
      </w:r>
      <w:r w:rsidR="00665868">
        <w:rPr>
          <w:lang w:val="en-GB"/>
        </w:rPr>
        <w:t xml:space="preserve">. However, when magnified, the window should move to the screen centre, but it will happen </w:t>
      </w:r>
      <w:r w:rsidR="00E77B7F">
        <w:rPr>
          <w:lang w:val="en-GB"/>
        </w:rPr>
        <w:t xml:space="preserve">is that way </w:t>
      </w:r>
      <w:r w:rsidR="00665868">
        <w:rPr>
          <w:lang w:val="en-GB"/>
        </w:rPr>
        <w:t xml:space="preserve">that the window moves only inside its virtual column </w:t>
      </w:r>
      <w:r w:rsidR="00E77B7F">
        <w:rPr>
          <w:lang w:val="en-GB"/>
        </w:rPr>
        <w:t xml:space="preserve">boundary </w:t>
      </w:r>
      <w:r w:rsidR="00665868">
        <w:rPr>
          <w:lang w:val="en-GB"/>
        </w:rPr>
        <w:t>only.</w:t>
      </w:r>
      <w:r w:rsidR="00D86A86">
        <w:rPr>
          <w:lang w:val="en-GB"/>
        </w:rPr>
        <w:t xml:space="preserve"> It docks to the right side (that side which is closer to the screen centre) of </w:t>
      </w:r>
      <w:r w:rsidR="005575A1">
        <w:rPr>
          <w:lang w:val="en-GB"/>
        </w:rPr>
        <w:t>its</w:t>
      </w:r>
      <w:r w:rsidR="00D86A86">
        <w:rPr>
          <w:lang w:val="en-GB"/>
        </w:rPr>
        <w:t xml:space="preserve"> virtual column, when magnified.</w:t>
      </w:r>
      <w:r w:rsidR="00665868">
        <w:rPr>
          <w:lang w:val="en-GB"/>
        </w:rPr>
        <w:t xml:space="preserve"> (the user probably will not even notice that there are</w:t>
      </w:r>
      <w:r w:rsidR="00D1654C">
        <w:rPr>
          <w:lang w:val="en-GB"/>
        </w:rPr>
        <w:t xml:space="preserve"> separate</w:t>
      </w:r>
      <w:r w:rsidR="00665868">
        <w:rPr>
          <w:lang w:val="en-GB"/>
        </w:rPr>
        <w:t xml:space="preserve"> columns</w:t>
      </w:r>
      <w:r w:rsidR="008E67B9">
        <w:rPr>
          <w:lang w:val="en-GB"/>
        </w:rPr>
        <w:t>, because the columns boundary is not shown</w:t>
      </w:r>
      <w:r w:rsidR="00665868">
        <w:rPr>
          <w:lang w:val="en-GB"/>
        </w:rPr>
        <w:t>)</w:t>
      </w:r>
    </w:p>
    <w:p w:rsidR="00074603" w:rsidRPr="00074603" w:rsidRDefault="00074603" w:rsidP="00074603">
      <w:pPr>
        <w:pStyle w:val="ListParagraph"/>
        <w:rPr>
          <w:lang w:val="en-GB"/>
        </w:rPr>
      </w:pPr>
    </w:p>
    <w:p w:rsidR="00074603" w:rsidRDefault="00074603" w:rsidP="00074603">
      <w:pPr>
        <w:pStyle w:val="ListParagraph"/>
        <w:numPr>
          <w:ilvl w:val="0"/>
          <w:numId w:val="12"/>
        </w:numPr>
        <w:rPr>
          <w:lang w:val="en-GB"/>
        </w:rPr>
      </w:pPr>
      <w:r>
        <w:rPr>
          <w:lang w:val="en-GB"/>
        </w:rPr>
        <w:t>This was a problem, but we discussed and probably have a solution:</w:t>
      </w:r>
    </w:p>
    <w:p w:rsidR="00074603" w:rsidRDefault="00074603" w:rsidP="00074603">
      <w:pPr>
        <w:pStyle w:val="ListParagraph"/>
        <w:numPr>
          <w:ilvl w:val="1"/>
          <w:numId w:val="12"/>
        </w:numPr>
        <w:rPr>
          <w:lang w:val="en-GB"/>
        </w:rPr>
      </w:pPr>
      <w:r>
        <w:rPr>
          <w:lang w:val="en-GB"/>
        </w:rPr>
        <w:t>Important!: there will be a problem that our program cannot move the mouse and the mouse cursor will be still, but the window will move away from the mouse (in the process of zooming). However, when the window moves away from the window, the window magnification stops. Does it acceptable to the user? Probably we don’t know until we implement and the user tries it.</w:t>
      </w:r>
    </w:p>
    <w:p w:rsidR="003342CF" w:rsidRDefault="003342CF" w:rsidP="003342CF">
      <w:pPr>
        <w:pStyle w:val="ListParagraph"/>
        <w:numPr>
          <w:ilvl w:val="0"/>
          <w:numId w:val="12"/>
        </w:numPr>
        <w:spacing w:after="0"/>
        <w:rPr>
          <w:rFonts w:ascii="Calibri" w:hAnsi="Calibri"/>
          <w:color w:val="FF0000"/>
        </w:rPr>
      </w:pPr>
      <w:r>
        <w:rPr>
          <w:rFonts w:ascii="Calibri" w:hAnsi="Calibri"/>
          <w:color w:val="FF0000"/>
        </w:rPr>
        <w:t>That is the problem with the web browser I alluded to, when the page is magnified the window move away from the mouse and the magnification stops</w:t>
      </w:r>
    </w:p>
    <w:p w:rsidR="003342CF" w:rsidRDefault="003342CF" w:rsidP="00074603">
      <w:pPr>
        <w:pStyle w:val="ListParagraph"/>
        <w:numPr>
          <w:ilvl w:val="1"/>
          <w:numId w:val="12"/>
        </w:numPr>
        <w:rPr>
          <w:lang w:val="en-GB"/>
        </w:rPr>
      </w:pPr>
    </w:p>
    <w:p w:rsidR="00074603" w:rsidRDefault="00074603" w:rsidP="00074603">
      <w:pPr>
        <w:pStyle w:val="ListParagraph"/>
        <w:numPr>
          <w:ilvl w:val="1"/>
          <w:numId w:val="12"/>
        </w:numPr>
        <w:rPr>
          <w:lang w:val="en-GB"/>
        </w:rPr>
      </w:pPr>
      <w:r>
        <w:rPr>
          <w:lang w:val="en-GB"/>
        </w:rPr>
        <w:t>Solution: because the Main (3D spheres) window is in the background, we can capture the mouse wheel scrolling even after the window is moved away from the mouse cursor. If the mouse scrolling event happens during the next 500-1000msec from the previous mouse scrolling, we magnify the window even further in spite of the  fact that the mouse is not over the window.</w:t>
      </w:r>
    </w:p>
    <w:p w:rsidR="004E0B88" w:rsidRDefault="003342CF" w:rsidP="004E0B88">
      <w:pPr>
        <w:rPr>
          <w:lang w:val="en-GB"/>
        </w:rPr>
      </w:pPr>
      <w:r>
        <w:rPr>
          <w:rFonts w:ascii="Calibri" w:hAnsi="Calibri"/>
          <w:color w:val="FF0000"/>
        </w:rPr>
        <w:t>I think it will work</w:t>
      </w:r>
    </w:p>
    <w:p w:rsidR="004E0B88" w:rsidRPr="004E0B88" w:rsidRDefault="004E0B88" w:rsidP="004E0B88">
      <w:pPr>
        <w:rPr>
          <w:lang w:val="en-GB"/>
        </w:rPr>
      </w:pPr>
    </w:p>
    <w:p w:rsidR="004E0B88" w:rsidRDefault="004E0B88" w:rsidP="004E0B88">
      <w:pPr>
        <w:pStyle w:val="ListParagraph"/>
        <w:numPr>
          <w:ilvl w:val="0"/>
          <w:numId w:val="12"/>
        </w:numPr>
        <w:rPr>
          <w:lang w:val="en-GB"/>
        </w:rPr>
      </w:pPr>
      <w:r>
        <w:rPr>
          <w:lang w:val="en-GB"/>
        </w:rPr>
        <w:t xml:space="preserve">For the placement of the windows: One idea worth investigation is the WPF like Panel container </w:t>
      </w:r>
      <w:r w:rsidR="00831FC1">
        <w:rPr>
          <w:lang w:val="en-GB"/>
        </w:rPr>
        <w:t xml:space="preserve">implementation </w:t>
      </w:r>
      <w:r>
        <w:rPr>
          <w:lang w:val="en-GB"/>
        </w:rPr>
        <w:t>approach. Measure(), MeasureOverride() and Move(). The Panel calculates the positions and sizes of the children.</w:t>
      </w:r>
    </w:p>
    <w:p w:rsidR="003342CF" w:rsidRDefault="003342CF" w:rsidP="003342CF">
      <w:pPr>
        <w:pStyle w:val="ListParagraph"/>
        <w:numPr>
          <w:ilvl w:val="0"/>
          <w:numId w:val="12"/>
        </w:numPr>
        <w:spacing w:after="0"/>
        <w:rPr>
          <w:rFonts w:ascii="Calibri" w:hAnsi="Calibri"/>
          <w:color w:val="FF0000"/>
        </w:rPr>
      </w:pPr>
      <w:r>
        <w:rPr>
          <w:rFonts w:ascii="Calibri" w:eastAsia="Calibri" w:hAnsi="Calibri" w:cs="Calibri"/>
          <w:color w:val="FF0000"/>
        </w:rPr>
        <w:t>-</w:t>
      </w:r>
      <w:r>
        <w:rPr>
          <w:rFonts w:eastAsia="Calibri"/>
          <w:color w:val="FF0000"/>
          <w:sz w:val="14"/>
          <w:szCs w:val="14"/>
        </w:rPr>
        <w:t xml:space="preserve">          </w:t>
      </w:r>
      <w:r>
        <w:rPr>
          <w:rFonts w:ascii="Calibri" w:hAnsi="Calibri"/>
          <w:color w:val="FF0000"/>
        </w:rPr>
        <w:t>Would be nice if the process is already part of WPF</w:t>
      </w:r>
    </w:p>
    <w:p w:rsidR="003342CF" w:rsidRDefault="003342CF" w:rsidP="004E0B88">
      <w:pPr>
        <w:pStyle w:val="ListParagraph"/>
        <w:numPr>
          <w:ilvl w:val="0"/>
          <w:numId w:val="12"/>
        </w:numPr>
        <w:rPr>
          <w:lang w:val="en-GB"/>
        </w:rPr>
      </w:pPr>
    </w:p>
    <w:p w:rsidR="004E0B88" w:rsidRDefault="004E0B88" w:rsidP="004E0B88">
      <w:pPr>
        <w:pStyle w:val="ListParagraph"/>
        <w:numPr>
          <w:ilvl w:val="0"/>
          <w:numId w:val="12"/>
        </w:numPr>
        <w:rPr>
          <w:lang w:val="en-GB"/>
        </w:rPr>
      </w:pPr>
      <w:r>
        <w:rPr>
          <w:lang w:val="en-GB"/>
        </w:rPr>
        <w:t>Keyframe animation: but this may be not appropriate here</w:t>
      </w:r>
    </w:p>
    <w:p w:rsidR="003342CF" w:rsidRDefault="003342CF" w:rsidP="003342CF">
      <w:pPr>
        <w:pStyle w:val="ListParagraph"/>
        <w:numPr>
          <w:ilvl w:val="0"/>
          <w:numId w:val="12"/>
        </w:numPr>
        <w:spacing w:after="0"/>
        <w:rPr>
          <w:rFonts w:ascii="Calibri" w:hAnsi="Calibri"/>
          <w:color w:val="FF0000"/>
        </w:rPr>
      </w:pPr>
      <w:r>
        <w:rPr>
          <w:rFonts w:ascii="Calibri" w:hAnsi="Calibri"/>
        </w:rPr>
        <w:t>      </w:t>
      </w:r>
      <w:r>
        <w:rPr>
          <w:rFonts w:ascii="Calibri" w:hAnsi="Calibri"/>
          <w:color w:val="FF0000"/>
        </w:rPr>
        <w:t>Everything which make it smooth is welcome</w:t>
      </w:r>
    </w:p>
    <w:p w:rsidR="003342CF" w:rsidRDefault="003342CF" w:rsidP="003342CF">
      <w:pPr>
        <w:pStyle w:val="ListParagraph"/>
        <w:numPr>
          <w:ilvl w:val="0"/>
          <w:numId w:val="12"/>
        </w:numPr>
        <w:spacing w:after="0"/>
        <w:rPr>
          <w:rFonts w:ascii="Times New Roman" w:hAnsi="Times New Roman"/>
        </w:rPr>
      </w:pPr>
      <w:r>
        <w:rPr>
          <w:rFonts w:eastAsia="Calibri"/>
          <w:sz w:val="14"/>
          <w:szCs w:val="14"/>
        </w:rPr>
        <w:t xml:space="preserve">        </w:t>
      </w:r>
    </w:p>
    <w:p w:rsidR="003342CF" w:rsidRDefault="003342CF" w:rsidP="003342CF">
      <w:pPr>
        <w:pStyle w:val="ListParagraph"/>
        <w:numPr>
          <w:ilvl w:val="0"/>
          <w:numId w:val="12"/>
        </w:numPr>
        <w:rPr>
          <w:rFonts w:ascii="Calibri" w:hAnsi="Calibri"/>
          <w:color w:val="FF0000"/>
        </w:rPr>
      </w:pPr>
      <w:r>
        <w:rPr>
          <w:rFonts w:ascii="Calibri" w:eastAsia="Calibri" w:hAnsi="Calibri" w:cs="Calibri"/>
          <w:color w:val="FF0000"/>
        </w:rPr>
        <w:t>-</w:t>
      </w:r>
      <w:r>
        <w:rPr>
          <w:rFonts w:eastAsia="Calibri"/>
          <w:color w:val="FF0000"/>
          <w:sz w:val="14"/>
          <w:szCs w:val="14"/>
        </w:rPr>
        <w:t xml:space="preserve">          </w:t>
      </w:r>
      <w:r>
        <w:rPr>
          <w:rFonts w:ascii="Calibri" w:hAnsi="Calibri"/>
          <w:color w:val="FF0000"/>
        </w:rPr>
        <w:t>What is the time involved?</w:t>
      </w:r>
    </w:p>
    <w:p w:rsidR="004E0B88" w:rsidRPr="004E0B88" w:rsidRDefault="004E0B88" w:rsidP="004E0B88">
      <w:pPr>
        <w:rPr>
          <w:lang w:val="en-GB"/>
        </w:rPr>
      </w:pPr>
    </w:p>
    <w:p w:rsidR="00074603" w:rsidRPr="00074603" w:rsidRDefault="00074603" w:rsidP="00074603">
      <w:pPr>
        <w:rPr>
          <w:lang w:val="en-GB"/>
        </w:rPr>
      </w:pPr>
    </w:p>
    <w:p w:rsidR="002706AC" w:rsidRDefault="002706AC" w:rsidP="002706AC">
      <w:pPr>
        <w:pStyle w:val="ListParagraph"/>
        <w:ind w:left="0"/>
        <w:rPr>
          <w:lang w:val="en-GB"/>
        </w:rPr>
      </w:pPr>
    </w:p>
    <w:p w:rsidR="002706AC" w:rsidRPr="00BF0F37" w:rsidRDefault="002706AC" w:rsidP="002706AC">
      <w:pPr>
        <w:pStyle w:val="ListParagraph"/>
        <w:ind w:left="0"/>
        <w:rPr>
          <w:lang w:val="en-GB"/>
        </w:rPr>
      </w:pPr>
    </w:p>
    <w:sectPr w:rsidR="002706AC" w:rsidRPr="00BF0F37" w:rsidSect="00701356">
      <w:footerReference w:type="default" r:id="rId12"/>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B7DBE" w:rsidRDefault="001B7DBE" w:rsidP="00E1654B">
      <w:pPr>
        <w:spacing w:after="0" w:line="240" w:lineRule="auto"/>
      </w:pPr>
      <w:r>
        <w:separator/>
      </w:r>
    </w:p>
  </w:endnote>
  <w:endnote w:type="continuationSeparator" w:id="1">
    <w:p w:rsidR="001B7DBE" w:rsidRDefault="001B7DBE" w:rsidP="00E1654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09F" w:csb1="00000000"/>
  </w:font>
  <w:font w:name="Tahoma">
    <w:panose1 w:val="020B0604030504040204"/>
    <w:charset w:val="00"/>
    <w:family w:val="swiss"/>
    <w:pitch w:val="variable"/>
    <w:sig w:usb0="E1002AFF" w:usb1="C000605B" w:usb2="00000029"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1654B" w:rsidRDefault="005C7004">
    <w:pPr>
      <w:pStyle w:val="Footer"/>
    </w:pPr>
    <w:r w:rsidRPr="005C7004">
      <w:rPr>
        <w:noProof/>
      </w:rPr>
      <w:pict>
        <v:group id="_x0000_s11272" style="position:absolute;margin-left:0;margin-top:0;width:532.9pt;height:53pt;z-index:251660288;mso-position-horizontal:left;mso-position-horizontal-relative:page;mso-position-vertical:top;mso-position-vertical-relative:bottom-margin-area" coordorigin="15,14415" coordsize="10658,1060">
          <v:shapetype id="_x0000_t32" coordsize="21600,21600" o:spt="32" o:oned="t" path="m,l21600,21600e" filled="f">
            <v:path arrowok="t" fillok="f" o:connecttype="none"/>
            <o:lock v:ext="edit" shapetype="t"/>
          </v:shapetype>
          <v:shape id="_x0000_s11273" type="#_x0000_t32" style="position:absolute;left:15;top:14415;width:10171;height:1057" o:connectortype="straight" strokecolor="#a7bfde [1620]"/>
          <v:oval id="_x0000_s11274" style="position:absolute;left:9657;top:14459;width:1016;height:1016" fillcolor="#a7bfde [1620]" stroked="f"/>
          <v:oval id="_x0000_s11275" style="position:absolute;left:9733;top:14568;width:908;height:904" fillcolor="#d3dfee [820]" stroked="f"/>
          <v:oval id="_x0000_s11276" style="position:absolute;left:9802;top:14688;width:783;height:784;v-text-anchor:middle" fillcolor="#7ba0cd [2420]" stroked="f">
            <v:textbox style="mso-next-textbox:#_x0000_s11276">
              <w:txbxContent>
                <w:p w:rsidR="00B11313" w:rsidRDefault="005C7004">
                  <w:pPr>
                    <w:pStyle w:val="Header"/>
                    <w:jc w:val="center"/>
                    <w:rPr>
                      <w:color w:val="FFFFFF" w:themeColor="background1"/>
                    </w:rPr>
                  </w:pPr>
                  <w:fldSimple w:instr=" PAGE   \* MERGEFORMAT ">
                    <w:r w:rsidR="003342CF" w:rsidRPr="003342CF">
                      <w:rPr>
                        <w:noProof/>
                        <w:color w:val="FFFFFF" w:themeColor="background1"/>
                      </w:rPr>
                      <w:t>6</w:t>
                    </w:r>
                  </w:fldSimple>
                </w:p>
              </w:txbxContent>
            </v:textbox>
          </v:oval>
          <w10:wrap anchorx="page" anchory="page"/>
        </v:group>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B7DBE" w:rsidRDefault="001B7DBE" w:rsidP="00E1654B">
      <w:pPr>
        <w:spacing w:after="0" w:line="240" w:lineRule="auto"/>
      </w:pPr>
      <w:r>
        <w:separator/>
      </w:r>
    </w:p>
  </w:footnote>
  <w:footnote w:type="continuationSeparator" w:id="1">
    <w:p w:rsidR="001B7DBE" w:rsidRDefault="001B7DBE" w:rsidP="00E1654B">
      <w:pPr>
        <w:spacing w:after="0" w:line="240" w:lineRule="auto"/>
      </w:pPr>
      <w:r>
        <w:continuationSeparator/>
      </w:r>
    </w:p>
  </w:footnote>
  <w:footnote w:id="2">
    <w:p w:rsidR="00DD15E9" w:rsidRPr="00DD15E9" w:rsidRDefault="00DD15E9">
      <w:pPr>
        <w:pStyle w:val="FootnoteText"/>
        <w:rPr>
          <w:lang w:val="en-GB"/>
        </w:rPr>
      </w:pPr>
      <w:r>
        <w:rPr>
          <w:rStyle w:val="FootnoteReference"/>
        </w:rPr>
        <w:footnoteRef/>
      </w:r>
      <w:r>
        <w:t xml:space="preserve"> </w:t>
      </w:r>
      <w:r>
        <w:rPr>
          <w:lang w:val="en-GB"/>
        </w:rPr>
        <w:t xml:space="preserve">Instead of a regular grid, we better call </w:t>
      </w:r>
      <w:r w:rsidR="008351DC">
        <w:rPr>
          <w:lang w:val="en-GB"/>
        </w:rPr>
        <w:t xml:space="preserve">the concept as </w:t>
      </w:r>
      <w:r>
        <w:rPr>
          <w:lang w:val="en-GB"/>
        </w:rPr>
        <w:t xml:space="preserve">separate columns, because the separate </w:t>
      </w:r>
      <w:r w:rsidR="008351DC">
        <w:rPr>
          <w:lang w:val="en-GB"/>
        </w:rPr>
        <w:t>columns</w:t>
      </w:r>
      <w:r>
        <w:rPr>
          <w:lang w:val="en-GB"/>
        </w:rPr>
        <w:t xml:space="preserve"> can hav</w:t>
      </w:r>
      <w:r w:rsidR="008351DC">
        <w:rPr>
          <w:lang w:val="en-GB"/>
        </w:rPr>
        <w:t>e rows</w:t>
      </w:r>
      <w:r>
        <w:rPr>
          <w:lang w:val="en-GB"/>
        </w:rPr>
        <w:t xml:space="preserve"> width different heights</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7F4D23"/>
    <w:multiLevelType w:val="hybridMultilevel"/>
    <w:tmpl w:val="DA84742A"/>
    <w:lvl w:ilvl="0" w:tplc="E8C42BDE">
      <w:start w:val="2"/>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2C4F0783"/>
    <w:multiLevelType w:val="hybridMultilevel"/>
    <w:tmpl w:val="E558044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2FF46BED"/>
    <w:multiLevelType w:val="multilevel"/>
    <w:tmpl w:val="51EE91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30BB272B"/>
    <w:multiLevelType w:val="hybridMultilevel"/>
    <w:tmpl w:val="B1521F74"/>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31455D48"/>
    <w:multiLevelType w:val="hybridMultilevel"/>
    <w:tmpl w:val="F6C820F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414B0AB1"/>
    <w:multiLevelType w:val="multilevel"/>
    <w:tmpl w:val="901875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4D71394D"/>
    <w:multiLevelType w:val="hybridMultilevel"/>
    <w:tmpl w:val="D67AB094"/>
    <w:lvl w:ilvl="0" w:tplc="2986602C">
      <w:numFmt w:val="bullet"/>
      <w:lvlText w:val="-"/>
      <w:lvlJc w:val="left"/>
      <w:pPr>
        <w:ind w:left="720" w:hanging="360"/>
      </w:pPr>
      <w:rPr>
        <w:rFonts w:ascii="Arial" w:eastAsiaTheme="minorHAnsi" w:hAnsi="Arial" w:cs="Arial" w:hint="default"/>
        <w:sz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4F355951"/>
    <w:multiLevelType w:val="hybridMultilevel"/>
    <w:tmpl w:val="3C3E8E86"/>
    <w:lvl w:ilvl="0" w:tplc="E8C42BDE">
      <w:start w:val="2"/>
      <w:numFmt w:val="bullet"/>
      <w:lvlText w:val="-"/>
      <w:lvlJc w:val="left"/>
      <w:pPr>
        <w:ind w:left="720" w:hanging="360"/>
      </w:pPr>
      <w:rPr>
        <w:rFonts w:ascii="Calibri" w:eastAsiaTheme="minorHAnsi" w:hAnsi="Calibri" w:cstheme="minorBidi"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61752250"/>
    <w:multiLevelType w:val="multilevel"/>
    <w:tmpl w:val="410CC5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63C84D50"/>
    <w:multiLevelType w:val="hybridMultilevel"/>
    <w:tmpl w:val="64C4131A"/>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653F6DCD"/>
    <w:multiLevelType w:val="hybridMultilevel"/>
    <w:tmpl w:val="E558044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nsid w:val="6D1D4912"/>
    <w:multiLevelType w:val="multilevel"/>
    <w:tmpl w:val="F7FC3F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75CF56FF"/>
    <w:multiLevelType w:val="hybridMultilevel"/>
    <w:tmpl w:val="E558044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
  </w:num>
  <w:num w:numId="2">
    <w:abstractNumId w:val="8"/>
  </w:num>
  <w:num w:numId="3">
    <w:abstractNumId w:val="6"/>
  </w:num>
  <w:num w:numId="4">
    <w:abstractNumId w:val="5"/>
  </w:num>
  <w:num w:numId="5">
    <w:abstractNumId w:val="11"/>
  </w:num>
  <w:num w:numId="6">
    <w:abstractNumId w:val="3"/>
  </w:num>
  <w:num w:numId="7">
    <w:abstractNumId w:val="9"/>
  </w:num>
  <w:num w:numId="8">
    <w:abstractNumId w:val="4"/>
  </w:num>
  <w:num w:numId="9">
    <w:abstractNumId w:val="12"/>
  </w:num>
  <w:num w:numId="10">
    <w:abstractNumId w:val="1"/>
  </w:num>
  <w:num w:numId="11">
    <w:abstractNumId w:val="10"/>
  </w:num>
  <w:num w:numId="12">
    <w:abstractNumId w:val="7"/>
  </w:num>
  <w:num w:numId="1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3"/>
  <w:defaultTabStop w:val="720"/>
  <w:characterSpacingControl w:val="doNotCompress"/>
  <w:hdrShapeDefaults>
    <o:shapedefaults v:ext="edit" spidmax="32770"/>
    <o:shapelayout v:ext="edit">
      <o:idmap v:ext="edit" data="11"/>
      <o:rules v:ext="edit">
        <o:r id="V:Rule2" type="connector" idref="#_x0000_s11273"/>
      </o:rules>
    </o:shapelayout>
  </w:hdrShapeDefaults>
  <w:footnotePr>
    <w:footnote w:id="0"/>
    <w:footnote w:id="1"/>
  </w:footnotePr>
  <w:endnotePr>
    <w:endnote w:id="0"/>
    <w:endnote w:id="1"/>
  </w:endnotePr>
  <w:compat/>
  <w:rsids>
    <w:rsidRoot w:val="007A64BB"/>
    <w:rsid w:val="00003C93"/>
    <w:rsid w:val="000073F8"/>
    <w:rsid w:val="00017AEC"/>
    <w:rsid w:val="00020216"/>
    <w:rsid w:val="000225C7"/>
    <w:rsid w:val="000313CF"/>
    <w:rsid w:val="00035C14"/>
    <w:rsid w:val="00043088"/>
    <w:rsid w:val="00044798"/>
    <w:rsid w:val="000501BE"/>
    <w:rsid w:val="000552A5"/>
    <w:rsid w:val="0006275C"/>
    <w:rsid w:val="00066000"/>
    <w:rsid w:val="00066EE9"/>
    <w:rsid w:val="000708A5"/>
    <w:rsid w:val="00074603"/>
    <w:rsid w:val="00087A11"/>
    <w:rsid w:val="00094B45"/>
    <w:rsid w:val="000D26A6"/>
    <w:rsid w:val="000D710F"/>
    <w:rsid w:val="000E2DD6"/>
    <w:rsid w:val="000F2956"/>
    <w:rsid w:val="000F32EC"/>
    <w:rsid w:val="00101D14"/>
    <w:rsid w:val="00102D13"/>
    <w:rsid w:val="00113A0C"/>
    <w:rsid w:val="001155FB"/>
    <w:rsid w:val="00123EE5"/>
    <w:rsid w:val="00134E86"/>
    <w:rsid w:val="001455B6"/>
    <w:rsid w:val="00147034"/>
    <w:rsid w:val="00157495"/>
    <w:rsid w:val="00161FC3"/>
    <w:rsid w:val="0017697D"/>
    <w:rsid w:val="001816F4"/>
    <w:rsid w:val="001840B0"/>
    <w:rsid w:val="00185762"/>
    <w:rsid w:val="001878FC"/>
    <w:rsid w:val="0019321E"/>
    <w:rsid w:val="001A702D"/>
    <w:rsid w:val="001B7DBE"/>
    <w:rsid w:val="001C499C"/>
    <w:rsid w:val="001C7018"/>
    <w:rsid w:val="001D190C"/>
    <w:rsid w:val="001E6AC7"/>
    <w:rsid w:val="001F728D"/>
    <w:rsid w:val="00211A26"/>
    <w:rsid w:val="00226801"/>
    <w:rsid w:val="00227CE6"/>
    <w:rsid w:val="00231220"/>
    <w:rsid w:val="00240EB2"/>
    <w:rsid w:val="00250351"/>
    <w:rsid w:val="002568A1"/>
    <w:rsid w:val="002605E7"/>
    <w:rsid w:val="00267FA4"/>
    <w:rsid w:val="002706AC"/>
    <w:rsid w:val="0027152F"/>
    <w:rsid w:val="00277275"/>
    <w:rsid w:val="00277E14"/>
    <w:rsid w:val="002A05CA"/>
    <w:rsid w:val="002A1075"/>
    <w:rsid w:val="002A6D8F"/>
    <w:rsid w:val="002D3D49"/>
    <w:rsid w:val="002F3507"/>
    <w:rsid w:val="00312B61"/>
    <w:rsid w:val="00327790"/>
    <w:rsid w:val="003342CF"/>
    <w:rsid w:val="003375A8"/>
    <w:rsid w:val="00351E83"/>
    <w:rsid w:val="00356D64"/>
    <w:rsid w:val="0036247B"/>
    <w:rsid w:val="003671C7"/>
    <w:rsid w:val="00377A43"/>
    <w:rsid w:val="00385D7D"/>
    <w:rsid w:val="00386D1D"/>
    <w:rsid w:val="00397115"/>
    <w:rsid w:val="003A23C2"/>
    <w:rsid w:val="003A5A4E"/>
    <w:rsid w:val="003A5DB0"/>
    <w:rsid w:val="003B45A9"/>
    <w:rsid w:val="003C43E5"/>
    <w:rsid w:val="003C79F7"/>
    <w:rsid w:val="003D39ED"/>
    <w:rsid w:val="003D59F2"/>
    <w:rsid w:val="003E0884"/>
    <w:rsid w:val="003E13FE"/>
    <w:rsid w:val="003E518B"/>
    <w:rsid w:val="004043FC"/>
    <w:rsid w:val="00417C38"/>
    <w:rsid w:val="00433322"/>
    <w:rsid w:val="00443D9F"/>
    <w:rsid w:val="004458C6"/>
    <w:rsid w:val="00472E55"/>
    <w:rsid w:val="004868FA"/>
    <w:rsid w:val="0049653C"/>
    <w:rsid w:val="004A2481"/>
    <w:rsid w:val="004A60ED"/>
    <w:rsid w:val="004E0B88"/>
    <w:rsid w:val="004E0BF8"/>
    <w:rsid w:val="004E1B24"/>
    <w:rsid w:val="004E7F73"/>
    <w:rsid w:val="00541B78"/>
    <w:rsid w:val="005477F2"/>
    <w:rsid w:val="00551C79"/>
    <w:rsid w:val="005575A1"/>
    <w:rsid w:val="00564E22"/>
    <w:rsid w:val="00573703"/>
    <w:rsid w:val="00584682"/>
    <w:rsid w:val="005853F3"/>
    <w:rsid w:val="005A0758"/>
    <w:rsid w:val="005A7755"/>
    <w:rsid w:val="005B11E3"/>
    <w:rsid w:val="005B7AED"/>
    <w:rsid w:val="005C23E2"/>
    <w:rsid w:val="005C49F8"/>
    <w:rsid w:val="005C69CE"/>
    <w:rsid w:val="005C7004"/>
    <w:rsid w:val="005D5E98"/>
    <w:rsid w:val="005F2347"/>
    <w:rsid w:val="005F7257"/>
    <w:rsid w:val="005F751A"/>
    <w:rsid w:val="00615DDD"/>
    <w:rsid w:val="006167B7"/>
    <w:rsid w:val="00621BAE"/>
    <w:rsid w:val="00665868"/>
    <w:rsid w:val="006729E9"/>
    <w:rsid w:val="00680076"/>
    <w:rsid w:val="006826F1"/>
    <w:rsid w:val="006831D0"/>
    <w:rsid w:val="00690C3E"/>
    <w:rsid w:val="00694613"/>
    <w:rsid w:val="006947E7"/>
    <w:rsid w:val="006954CC"/>
    <w:rsid w:val="006A391A"/>
    <w:rsid w:val="006B44B8"/>
    <w:rsid w:val="006B7737"/>
    <w:rsid w:val="006C2A4E"/>
    <w:rsid w:val="006C7BE9"/>
    <w:rsid w:val="006D2BC2"/>
    <w:rsid w:val="006D63E6"/>
    <w:rsid w:val="006E2073"/>
    <w:rsid w:val="0070113A"/>
    <w:rsid w:val="00701356"/>
    <w:rsid w:val="00702B19"/>
    <w:rsid w:val="0071278F"/>
    <w:rsid w:val="0071691C"/>
    <w:rsid w:val="00720E22"/>
    <w:rsid w:val="007266CD"/>
    <w:rsid w:val="00726A8B"/>
    <w:rsid w:val="00734C5F"/>
    <w:rsid w:val="007433CB"/>
    <w:rsid w:val="00744636"/>
    <w:rsid w:val="007478E1"/>
    <w:rsid w:val="00747C36"/>
    <w:rsid w:val="007531E1"/>
    <w:rsid w:val="00755672"/>
    <w:rsid w:val="0075703B"/>
    <w:rsid w:val="0076275E"/>
    <w:rsid w:val="00763392"/>
    <w:rsid w:val="00764FA6"/>
    <w:rsid w:val="007703DA"/>
    <w:rsid w:val="00772AB7"/>
    <w:rsid w:val="00784400"/>
    <w:rsid w:val="00786D44"/>
    <w:rsid w:val="007953EE"/>
    <w:rsid w:val="00795E2E"/>
    <w:rsid w:val="007A64BB"/>
    <w:rsid w:val="007B68CC"/>
    <w:rsid w:val="007C2132"/>
    <w:rsid w:val="007C21D8"/>
    <w:rsid w:val="007D0D8E"/>
    <w:rsid w:val="007D3B30"/>
    <w:rsid w:val="007F7F68"/>
    <w:rsid w:val="00804AE6"/>
    <w:rsid w:val="008220E0"/>
    <w:rsid w:val="00831FC1"/>
    <w:rsid w:val="0083356D"/>
    <w:rsid w:val="008336B6"/>
    <w:rsid w:val="008351DC"/>
    <w:rsid w:val="00842347"/>
    <w:rsid w:val="008445C0"/>
    <w:rsid w:val="0084467B"/>
    <w:rsid w:val="00844F89"/>
    <w:rsid w:val="00845F20"/>
    <w:rsid w:val="008473EC"/>
    <w:rsid w:val="0085286E"/>
    <w:rsid w:val="00861DB8"/>
    <w:rsid w:val="00867D9C"/>
    <w:rsid w:val="00871EC2"/>
    <w:rsid w:val="00872ECD"/>
    <w:rsid w:val="00884734"/>
    <w:rsid w:val="008B0FB4"/>
    <w:rsid w:val="008B16B8"/>
    <w:rsid w:val="008B25DD"/>
    <w:rsid w:val="008D0F3F"/>
    <w:rsid w:val="008E2F6D"/>
    <w:rsid w:val="008E67B9"/>
    <w:rsid w:val="008E7DC2"/>
    <w:rsid w:val="008F08A7"/>
    <w:rsid w:val="008F2842"/>
    <w:rsid w:val="00917508"/>
    <w:rsid w:val="00925CA0"/>
    <w:rsid w:val="00935525"/>
    <w:rsid w:val="00942EA0"/>
    <w:rsid w:val="009532B3"/>
    <w:rsid w:val="00965014"/>
    <w:rsid w:val="00966565"/>
    <w:rsid w:val="009943F2"/>
    <w:rsid w:val="009A344D"/>
    <w:rsid w:val="009A3DB7"/>
    <w:rsid w:val="009A7280"/>
    <w:rsid w:val="009B2DCF"/>
    <w:rsid w:val="009C4AF4"/>
    <w:rsid w:val="009D01F4"/>
    <w:rsid w:val="009D21F7"/>
    <w:rsid w:val="009D5AB6"/>
    <w:rsid w:val="009D62C3"/>
    <w:rsid w:val="009E2AD4"/>
    <w:rsid w:val="009E61DC"/>
    <w:rsid w:val="009F4411"/>
    <w:rsid w:val="009F50F7"/>
    <w:rsid w:val="009F78E2"/>
    <w:rsid w:val="00A55BA2"/>
    <w:rsid w:val="00A72C47"/>
    <w:rsid w:val="00A84AB2"/>
    <w:rsid w:val="00A85D52"/>
    <w:rsid w:val="00A87735"/>
    <w:rsid w:val="00A87775"/>
    <w:rsid w:val="00A90A86"/>
    <w:rsid w:val="00A92A4D"/>
    <w:rsid w:val="00AA3A68"/>
    <w:rsid w:val="00AA41FE"/>
    <w:rsid w:val="00AC1446"/>
    <w:rsid w:val="00AC35ED"/>
    <w:rsid w:val="00AD0445"/>
    <w:rsid w:val="00AE0FE0"/>
    <w:rsid w:val="00AE6B6A"/>
    <w:rsid w:val="00AF1145"/>
    <w:rsid w:val="00B03182"/>
    <w:rsid w:val="00B050FB"/>
    <w:rsid w:val="00B11313"/>
    <w:rsid w:val="00B13C9B"/>
    <w:rsid w:val="00B1578C"/>
    <w:rsid w:val="00B24E9D"/>
    <w:rsid w:val="00B26704"/>
    <w:rsid w:val="00B271A5"/>
    <w:rsid w:val="00B30A43"/>
    <w:rsid w:val="00B315BC"/>
    <w:rsid w:val="00B3753D"/>
    <w:rsid w:val="00B450DC"/>
    <w:rsid w:val="00B52A9F"/>
    <w:rsid w:val="00B65BEA"/>
    <w:rsid w:val="00B66ECB"/>
    <w:rsid w:val="00B706E2"/>
    <w:rsid w:val="00B74242"/>
    <w:rsid w:val="00B7658C"/>
    <w:rsid w:val="00B771A7"/>
    <w:rsid w:val="00BA5A62"/>
    <w:rsid w:val="00BB3317"/>
    <w:rsid w:val="00BC05F0"/>
    <w:rsid w:val="00BC599D"/>
    <w:rsid w:val="00BD4AAA"/>
    <w:rsid w:val="00BD6459"/>
    <w:rsid w:val="00BD75B8"/>
    <w:rsid w:val="00BF0F37"/>
    <w:rsid w:val="00BF21D5"/>
    <w:rsid w:val="00C04C8A"/>
    <w:rsid w:val="00C12B12"/>
    <w:rsid w:val="00C227B7"/>
    <w:rsid w:val="00C238C2"/>
    <w:rsid w:val="00C30475"/>
    <w:rsid w:val="00C33B80"/>
    <w:rsid w:val="00C45A01"/>
    <w:rsid w:val="00C466FE"/>
    <w:rsid w:val="00C5473D"/>
    <w:rsid w:val="00C5750F"/>
    <w:rsid w:val="00C642FE"/>
    <w:rsid w:val="00C711E9"/>
    <w:rsid w:val="00C83885"/>
    <w:rsid w:val="00C842C6"/>
    <w:rsid w:val="00CB0DA1"/>
    <w:rsid w:val="00CB19F6"/>
    <w:rsid w:val="00CB4E7A"/>
    <w:rsid w:val="00CB78FC"/>
    <w:rsid w:val="00CC189A"/>
    <w:rsid w:val="00CC4B72"/>
    <w:rsid w:val="00CC65D8"/>
    <w:rsid w:val="00CD4AC9"/>
    <w:rsid w:val="00CD7C57"/>
    <w:rsid w:val="00CF0C81"/>
    <w:rsid w:val="00CF2358"/>
    <w:rsid w:val="00CF39AB"/>
    <w:rsid w:val="00D1654C"/>
    <w:rsid w:val="00D2300D"/>
    <w:rsid w:val="00D25256"/>
    <w:rsid w:val="00D3399B"/>
    <w:rsid w:val="00D34E7B"/>
    <w:rsid w:val="00D37013"/>
    <w:rsid w:val="00D45812"/>
    <w:rsid w:val="00D51312"/>
    <w:rsid w:val="00D6205F"/>
    <w:rsid w:val="00D675B7"/>
    <w:rsid w:val="00D80499"/>
    <w:rsid w:val="00D86A86"/>
    <w:rsid w:val="00D91CF5"/>
    <w:rsid w:val="00D92E8C"/>
    <w:rsid w:val="00D943F1"/>
    <w:rsid w:val="00D9740E"/>
    <w:rsid w:val="00DA17ED"/>
    <w:rsid w:val="00DA2EB8"/>
    <w:rsid w:val="00DA6A9E"/>
    <w:rsid w:val="00DA7598"/>
    <w:rsid w:val="00DB2CEF"/>
    <w:rsid w:val="00DC74D7"/>
    <w:rsid w:val="00DD15E9"/>
    <w:rsid w:val="00DD20F4"/>
    <w:rsid w:val="00DD6313"/>
    <w:rsid w:val="00DE145A"/>
    <w:rsid w:val="00DF1B15"/>
    <w:rsid w:val="00E019E1"/>
    <w:rsid w:val="00E120DD"/>
    <w:rsid w:val="00E120E5"/>
    <w:rsid w:val="00E1654B"/>
    <w:rsid w:val="00E16937"/>
    <w:rsid w:val="00E21F8D"/>
    <w:rsid w:val="00E3077A"/>
    <w:rsid w:val="00E331BD"/>
    <w:rsid w:val="00E41CC5"/>
    <w:rsid w:val="00E42484"/>
    <w:rsid w:val="00E42A94"/>
    <w:rsid w:val="00E54C87"/>
    <w:rsid w:val="00E55B3C"/>
    <w:rsid w:val="00E628C1"/>
    <w:rsid w:val="00E635C4"/>
    <w:rsid w:val="00E77B7F"/>
    <w:rsid w:val="00EB6B4E"/>
    <w:rsid w:val="00EC0E9D"/>
    <w:rsid w:val="00EC3435"/>
    <w:rsid w:val="00EC3509"/>
    <w:rsid w:val="00EC53E9"/>
    <w:rsid w:val="00EC6622"/>
    <w:rsid w:val="00ED2E68"/>
    <w:rsid w:val="00EE6D6C"/>
    <w:rsid w:val="00EF278B"/>
    <w:rsid w:val="00F12CCF"/>
    <w:rsid w:val="00F2054C"/>
    <w:rsid w:val="00F41DD3"/>
    <w:rsid w:val="00F45BD8"/>
    <w:rsid w:val="00F5354C"/>
    <w:rsid w:val="00F62B79"/>
    <w:rsid w:val="00F64207"/>
    <w:rsid w:val="00F75AD7"/>
    <w:rsid w:val="00F86240"/>
    <w:rsid w:val="00F97AE1"/>
    <w:rsid w:val="00FA4E34"/>
    <w:rsid w:val="00FC1229"/>
    <w:rsid w:val="00FD2ECE"/>
    <w:rsid w:val="00FD7832"/>
    <w:rsid w:val="00FE0AE6"/>
    <w:rsid w:val="00FF0089"/>
    <w:rsid w:val="00FF65B7"/>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27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1356"/>
  </w:style>
  <w:style w:type="paragraph" w:styleId="Heading1">
    <w:name w:val="heading 1"/>
    <w:basedOn w:val="Normal"/>
    <w:link w:val="Heading1Char"/>
    <w:uiPriority w:val="9"/>
    <w:qFormat/>
    <w:rsid w:val="00066EE9"/>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next w:val="Normal"/>
    <w:link w:val="Heading2Char"/>
    <w:uiPriority w:val="9"/>
    <w:unhideWhenUsed/>
    <w:qFormat/>
    <w:rsid w:val="00584682"/>
    <w:pPr>
      <w:keepNext/>
      <w:keepLines/>
      <w:spacing w:before="200" w:after="0"/>
      <w:outlineLvl w:val="1"/>
    </w:pPr>
    <w:rPr>
      <w:rFonts w:asciiTheme="majorHAnsi" w:eastAsiaTheme="majorEastAsia" w:hAnsiTheme="majorHAnsi" w:cstheme="majorBidi"/>
      <w:b/>
      <w:bCs/>
      <w:color w:val="4F81BD" w:themeColor="accent1"/>
      <w:sz w:val="28"/>
      <w:szCs w:val="26"/>
    </w:rPr>
  </w:style>
  <w:style w:type="paragraph" w:styleId="Heading3">
    <w:name w:val="heading 3"/>
    <w:basedOn w:val="Normal"/>
    <w:next w:val="Normal"/>
    <w:link w:val="Heading3Char"/>
    <w:uiPriority w:val="9"/>
    <w:unhideWhenUsed/>
    <w:qFormat/>
    <w:rsid w:val="00584682"/>
    <w:pPr>
      <w:keepNext/>
      <w:keepLines/>
      <w:spacing w:before="200" w:after="0"/>
      <w:outlineLvl w:val="2"/>
    </w:pPr>
    <w:rPr>
      <w:rFonts w:asciiTheme="majorHAnsi" w:eastAsiaTheme="majorEastAsia" w:hAnsiTheme="majorHAnsi" w:cstheme="majorBidi"/>
      <w:b/>
      <w:bCs/>
      <w:color w:val="4F81BD" w:themeColor="accent1"/>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6831D0"/>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bold">
    <w:name w:val="bold"/>
    <w:basedOn w:val="Normal"/>
    <w:rsid w:val="006831D0"/>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justified">
    <w:name w:val="justified"/>
    <w:basedOn w:val="Normal"/>
    <w:rsid w:val="006831D0"/>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agesubmenu">
    <w:name w:val="pagesubmenu"/>
    <w:basedOn w:val="Normal"/>
    <w:rsid w:val="006831D0"/>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6831D0"/>
    <w:rPr>
      <w:color w:val="0000FF"/>
      <w:u w:val="single"/>
    </w:rPr>
  </w:style>
  <w:style w:type="paragraph" w:styleId="BalloonText">
    <w:name w:val="Balloon Text"/>
    <w:basedOn w:val="Normal"/>
    <w:link w:val="BalloonTextChar"/>
    <w:uiPriority w:val="99"/>
    <w:semiHidden/>
    <w:unhideWhenUsed/>
    <w:rsid w:val="006831D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831D0"/>
    <w:rPr>
      <w:rFonts w:ascii="Tahoma" w:hAnsi="Tahoma" w:cs="Tahoma"/>
      <w:sz w:val="16"/>
      <w:szCs w:val="16"/>
    </w:rPr>
  </w:style>
  <w:style w:type="paragraph" w:styleId="z-TopofForm">
    <w:name w:val="HTML Top of Form"/>
    <w:basedOn w:val="Normal"/>
    <w:next w:val="Normal"/>
    <w:link w:val="z-TopofFormChar"/>
    <w:hidden/>
    <w:uiPriority w:val="99"/>
    <w:semiHidden/>
    <w:unhideWhenUsed/>
    <w:rsid w:val="00795E2E"/>
    <w:pPr>
      <w:pBdr>
        <w:bottom w:val="single" w:sz="6" w:space="1" w:color="auto"/>
      </w:pBdr>
      <w:spacing w:after="0" w:line="240" w:lineRule="auto"/>
      <w:jc w:val="center"/>
    </w:pPr>
    <w:rPr>
      <w:rFonts w:ascii="Arial" w:eastAsia="Times New Roman" w:hAnsi="Arial" w:cs="Arial"/>
      <w:vanish/>
      <w:sz w:val="16"/>
      <w:szCs w:val="16"/>
    </w:rPr>
  </w:style>
  <w:style w:type="character" w:customStyle="1" w:styleId="z-TopofFormChar">
    <w:name w:val="z-Top of Form Char"/>
    <w:basedOn w:val="DefaultParagraphFont"/>
    <w:link w:val="z-TopofForm"/>
    <w:uiPriority w:val="99"/>
    <w:semiHidden/>
    <w:rsid w:val="00795E2E"/>
    <w:rPr>
      <w:rFonts w:ascii="Arial" w:eastAsia="Times New Roman" w:hAnsi="Arial" w:cs="Arial"/>
      <w:vanish/>
      <w:sz w:val="16"/>
      <w:szCs w:val="16"/>
    </w:rPr>
  </w:style>
  <w:style w:type="paragraph" w:styleId="z-BottomofForm">
    <w:name w:val="HTML Bottom of Form"/>
    <w:basedOn w:val="Normal"/>
    <w:next w:val="Normal"/>
    <w:link w:val="z-BottomofFormChar"/>
    <w:hidden/>
    <w:uiPriority w:val="99"/>
    <w:unhideWhenUsed/>
    <w:rsid w:val="00795E2E"/>
    <w:pPr>
      <w:pBdr>
        <w:top w:val="single" w:sz="6" w:space="1" w:color="auto"/>
      </w:pBdr>
      <w:spacing w:after="0" w:line="240" w:lineRule="auto"/>
      <w:jc w:val="center"/>
    </w:pPr>
    <w:rPr>
      <w:rFonts w:ascii="Arial" w:eastAsia="Times New Roman" w:hAnsi="Arial" w:cs="Arial"/>
      <w:vanish/>
      <w:sz w:val="16"/>
      <w:szCs w:val="16"/>
    </w:rPr>
  </w:style>
  <w:style w:type="character" w:customStyle="1" w:styleId="z-BottomofFormChar">
    <w:name w:val="z-Bottom of Form Char"/>
    <w:basedOn w:val="DefaultParagraphFont"/>
    <w:link w:val="z-BottomofForm"/>
    <w:uiPriority w:val="99"/>
    <w:rsid w:val="00795E2E"/>
    <w:rPr>
      <w:rFonts w:ascii="Arial" w:eastAsia="Times New Roman" w:hAnsi="Arial" w:cs="Arial"/>
      <w:vanish/>
      <w:sz w:val="16"/>
      <w:szCs w:val="16"/>
    </w:rPr>
  </w:style>
  <w:style w:type="paragraph" w:styleId="ListParagraph">
    <w:name w:val="List Paragraph"/>
    <w:basedOn w:val="Normal"/>
    <w:uiPriority w:val="34"/>
    <w:qFormat/>
    <w:rsid w:val="00B1578C"/>
    <w:pPr>
      <w:ind w:left="720"/>
      <w:contextualSpacing/>
    </w:pPr>
  </w:style>
  <w:style w:type="character" w:customStyle="1" w:styleId="Heading1Char">
    <w:name w:val="Heading 1 Char"/>
    <w:basedOn w:val="DefaultParagraphFont"/>
    <w:link w:val="Heading1"/>
    <w:uiPriority w:val="9"/>
    <w:rsid w:val="00066EE9"/>
    <w:rPr>
      <w:rFonts w:ascii="Times New Roman" w:eastAsia="Times New Roman" w:hAnsi="Times New Roman" w:cs="Times New Roman"/>
      <w:b/>
      <w:bCs/>
      <w:kern w:val="36"/>
      <w:sz w:val="48"/>
      <w:szCs w:val="48"/>
    </w:rPr>
  </w:style>
  <w:style w:type="character" w:styleId="Strong">
    <w:name w:val="Strong"/>
    <w:basedOn w:val="DefaultParagraphFont"/>
    <w:uiPriority w:val="22"/>
    <w:qFormat/>
    <w:rsid w:val="00066EE9"/>
    <w:rPr>
      <w:b/>
      <w:bCs/>
    </w:rPr>
  </w:style>
  <w:style w:type="character" w:customStyle="1" w:styleId="hw">
    <w:name w:val="hw"/>
    <w:basedOn w:val="DefaultParagraphFont"/>
    <w:rsid w:val="00066EE9"/>
  </w:style>
  <w:style w:type="character" w:customStyle="1" w:styleId="content">
    <w:name w:val="content"/>
    <w:basedOn w:val="DefaultParagraphFont"/>
    <w:rsid w:val="00066EE9"/>
  </w:style>
  <w:style w:type="character" w:customStyle="1" w:styleId="Heading2Char">
    <w:name w:val="Heading 2 Char"/>
    <w:basedOn w:val="DefaultParagraphFont"/>
    <w:link w:val="Heading2"/>
    <w:uiPriority w:val="9"/>
    <w:rsid w:val="00584682"/>
    <w:rPr>
      <w:rFonts w:asciiTheme="majorHAnsi" w:eastAsiaTheme="majorEastAsia" w:hAnsiTheme="majorHAnsi" w:cstheme="majorBidi"/>
      <w:b/>
      <w:bCs/>
      <w:color w:val="4F81BD" w:themeColor="accent1"/>
      <w:sz w:val="28"/>
      <w:szCs w:val="26"/>
    </w:rPr>
  </w:style>
  <w:style w:type="character" w:customStyle="1" w:styleId="Heading3Char">
    <w:name w:val="Heading 3 Char"/>
    <w:basedOn w:val="DefaultParagraphFont"/>
    <w:link w:val="Heading3"/>
    <w:uiPriority w:val="9"/>
    <w:rsid w:val="00584682"/>
    <w:rPr>
      <w:rFonts w:asciiTheme="majorHAnsi" w:eastAsiaTheme="majorEastAsia" w:hAnsiTheme="majorHAnsi" w:cstheme="majorBidi"/>
      <w:b/>
      <w:bCs/>
      <w:color w:val="4F81BD" w:themeColor="accent1"/>
      <w:sz w:val="28"/>
    </w:rPr>
  </w:style>
  <w:style w:type="paragraph" w:styleId="Header">
    <w:name w:val="header"/>
    <w:basedOn w:val="Normal"/>
    <w:link w:val="HeaderChar"/>
    <w:uiPriority w:val="99"/>
    <w:unhideWhenUsed/>
    <w:rsid w:val="00E1654B"/>
    <w:pPr>
      <w:tabs>
        <w:tab w:val="center" w:pos="4680"/>
        <w:tab w:val="right" w:pos="9360"/>
      </w:tabs>
      <w:spacing w:after="0" w:line="240" w:lineRule="auto"/>
    </w:pPr>
  </w:style>
  <w:style w:type="character" w:customStyle="1" w:styleId="HeaderChar">
    <w:name w:val="Header Char"/>
    <w:basedOn w:val="DefaultParagraphFont"/>
    <w:link w:val="Header"/>
    <w:uiPriority w:val="99"/>
    <w:rsid w:val="00E1654B"/>
  </w:style>
  <w:style w:type="paragraph" w:styleId="Footer">
    <w:name w:val="footer"/>
    <w:basedOn w:val="Normal"/>
    <w:link w:val="FooterChar"/>
    <w:uiPriority w:val="99"/>
    <w:unhideWhenUsed/>
    <w:rsid w:val="00E1654B"/>
    <w:pPr>
      <w:tabs>
        <w:tab w:val="center" w:pos="4680"/>
        <w:tab w:val="right" w:pos="9360"/>
      </w:tabs>
      <w:spacing w:after="0" w:line="240" w:lineRule="auto"/>
    </w:pPr>
  </w:style>
  <w:style w:type="character" w:customStyle="1" w:styleId="FooterChar">
    <w:name w:val="Footer Char"/>
    <w:basedOn w:val="DefaultParagraphFont"/>
    <w:link w:val="Footer"/>
    <w:uiPriority w:val="99"/>
    <w:rsid w:val="00E1654B"/>
  </w:style>
  <w:style w:type="paragraph" w:styleId="TOCHeading">
    <w:name w:val="TOC Heading"/>
    <w:basedOn w:val="Heading1"/>
    <w:next w:val="Normal"/>
    <w:uiPriority w:val="39"/>
    <w:semiHidden/>
    <w:unhideWhenUsed/>
    <w:qFormat/>
    <w:rsid w:val="006D63E6"/>
    <w:pPr>
      <w:keepNext/>
      <w:keepLines/>
      <w:spacing w:before="480" w:beforeAutospacing="0" w:after="0" w:afterAutospacing="0" w:line="276" w:lineRule="auto"/>
      <w:outlineLvl w:val="9"/>
    </w:pPr>
    <w:rPr>
      <w:rFonts w:asciiTheme="majorHAnsi" w:eastAsiaTheme="majorEastAsia" w:hAnsiTheme="majorHAnsi" w:cstheme="majorBidi"/>
      <w:color w:val="365F91" w:themeColor="accent1" w:themeShade="BF"/>
      <w:kern w:val="0"/>
      <w:sz w:val="28"/>
      <w:szCs w:val="28"/>
    </w:rPr>
  </w:style>
  <w:style w:type="paragraph" w:styleId="TOC1">
    <w:name w:val="toc 1"/>
    <w:basedOn w:val="Normal"/>
    <w:next w:val="Normal"/>
    <w:autoRedefine/>
    <w:uiPriority w:val="39"/>
    <w:unhideWhenUsed/>
    <w:qFormat/>
    <w:rsid w:val="006D63E6"/>
    <w:pPr>
      <w:spacing w:after="100"/>
    </w:pPr>
  </w:style>
  <w:style w:type="paragraph" w:styleId="TOC2">
    <w:name w:val="toc 2"/>
    <w:basedOn w:val="Normal"/>
    <w:next w:val="Normal"/>
    <w:autoRedefine/>
    <w:uiPriority w:val="39"/>
    <w:unhideWhenUsed/>
    <w:qFormat/>
    <w:rsid w:val="006D63E6"/>
    <w:pPr>
      <w:spacing w:after="100"/>
      <w:ind w:left="220"/>
    </w:pPr>
  </w:style>
  <w:style w:type="paragraph" w:styleId="TOC3">
    <w:name w:val="toc 3"/>
    <w:basedOn w:val="Normal"/>
    <w:next w:val="Normal"/>
    <w:autoRedefine/>
    <w:uiPriority w:val="39"/>
    <w:unhideWhenUsed/>
    <w:qFormat/>
    <w:rsid w:val="006D63E6"/>
    <w:pPr>
      <w:spacing w:after="100"/>
      <w:ind w:left="440"/>
    </w:pPr>
  </w:style>
  <w:style w:type="paragraph" w:styleId="Revision">
    <w:name w:val="Revision"/>
    <w:hidden/>
    <w:uiPriority w:val="99"/>
    <w:semiHidden/>
    <w:rsid w:val="00BA5A62"/>
    <w:pPr>
      <w:spacing w:after="0" w:line="240" w:lineRule="auto"/>
    </w:pPr>
  </w:style>
  <w:style w:type="paragraph" w:styleId="FootnoteText">
    <w:name w:val="footnote text"/>
    <w:basedOn w:val="Normal"/>
    <w:link w:val="FootnoteTextChar"/>
    <w:uiPriority w:val="99"/>
    <w:semiHidden/>
    <w:unhideWhenUsed/>
    <w:rsid w:val="00B11313"/>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B11313"/>
    <w:rPr>
      <w:sz w:val="20"/>
      <w:szCs w:val="20"/>
    </w:rPr>
  </w:style>
  <w:style w:type="character" w:styleId="FootnoteReference">
    <w:name w:val="footnote reference"/>
    <w:basedOn w:val="DefaultParagraphFont"/>
    <w:uiPriority w:val="99"/>
    <w:semiHidden/>
    <w:unhideWhenUsed/>
    <w:rsid w:val="00B11313"/>
    <w:rPr>
      <w:vertAlign w:val="superscript"/>
    </w:rPr>
  </w:style>
</w:styles>
</file>

<file path=word/webSettings.xml><?xml version="1.0" encoding="utf-8"?>
<w:webSettings xmlns:r="http://schemas.openxmlformats.org/officeDocument/2006/relationships" xmlns:w="http://schemas.openxmlformats.org/wordprocessingml/2006/main">
  <w:divs>
    <w:div w:id="106971360">
      <w:bodyDiv w:val="1"/>
      <w:marLeft w:val="0"/>
      <w:marRight w:val="0"/>
      <w:marTop w:val="0"/>
      <w:marBottom w:val="0"/>
      <w:divBdr>
        <w:top w:val="none" w:sz="0" w:space="0" w:color="auto"/>
        <w:left w:val="none" w:sz="0" w:space="0" w:color="auto"/>
        <w:bottom w:val="none" w:sz="0" w:space="0" w:color="auto"/>
        <w:right w:val="none" w:sz="0" w:space="0" w:color="auto"/>
      </w:divBdr>
    </w:div>
    <w:div w:id="119422696">
      <w:bodyDiv w:val="1"/>
      <w:marLeft w:val="0"/>
      <w:marRight w:val="0"/>
      <w:marTop w:val="0"/>
      <w:marBottom w:val="0"/>
      <w:divBdr>
        <w:top w:val="none" w:sz="0" w:space="0" w:color="auto"/>
        <w:left w:val="none" w:sz="0" w:space="0" w:color="auto"/>
        <w:bottom w:val="none" w:sz="0" w:space="0" w:color="auto"/>
        <w:right w:val="none" w:sz="0" w:space="0" w:color="auto"/>
      </w:divBdr>
    </w:div>
    <w:div w:id="232399437">
      <w:bodyDiv w:val="1"/>
      <w:marLeft w:val="0"/>
      <w:marRight w:val="0"/>
      <w:marTop w:val="0"/>
      <w:marBottom w:val="0"/>
      <w:divBdr>
        <w:top w:val="none" w:sz="0" w:space="0" w:color="auto"/>
        <w:left w:val="none" w:sz="0" w:space="0" w:color="auto"/>
        <w:bottom w:val="none" w:sz="0" w:space="0" w:color="auto"/>
        <w:right w:val="none" w:sz="0" w:space="0" w:color="auto"/>
      </w:divBdr>
    </w:div>
    <w:div w:id="299963438">
      <w:bodyDiv w:val="1"/>
      <w:marLeft w:val="0"/>
      <w:marRight w:val="0"/>
      <w:marTop w:val="0"/>
      <w:marBottom w:val="0"/>
      <w:divBdr>
        <w:top w:val="none" w:sz="0" w:space="0" w:color="auto"/>
        <w:left w:val="none" w:sz="0" w:space="0" w:color="auto"/>
        <w:bottom w:val="none" w:sz="0" w:space="0" w:color="auto"/>
        <w:right w:val="none" w:sz="0" w:space="0" w:color="auto"/>
      </w:divBdr>
    </w:div>
    <w:div w:id="334692737">
      <w:bodyDiv w:val="1"/>
      <w:marLeft w:val="0"/>
      <w:marRight w:val="0"/>
      <w:marTop w:val="0"/>
      <w:marBottom w:val="0"/>
      <w:divBdr>
        <w:top w:val="none" w:sz="0" w:space="0" w:color="auto"/>
        <w:left w:val="none" w:sz="0" w:space="0" w:color="auto"/>
        <w:bottom w:val="none" w:sz="0" w:space="0" w:color="auto"/>
        <w:right w:val="none" w:sz="0" w:space="0" w:color="auto"/>
      </w:divBdr>
    </w:div>
    <w:div w:id="420180501">
      <w:bodyDiv w:val="1"/>
      <w:marLeft w:val="0"/>
      <w:marRight w:val="0"/>
      <w:marTop w:val="0"/>
      <w:marBottom w:val="0"/>
      <w:divBdr>
        <w:top w:val="none" w:sz="0" w:space="0" w:color="auto"/>
        <w:left w:val="none" w:sz="0" w:space="0" w:color="auto"/>
        <w:bottom w:val="none" w:sz="0" w:space="0" w:color="auto"/>
        <w:right w:val="none" w:sz="0" w:space="0" w:color="auto"/>
      </w:divBdr>
    </w:div>
    <w:div w:id="532622480">
      <w:bodyDiv w:val="1"/>
      <w:marLeft w:val="0"/>
      <w:marRight w:val="0"/>
      <w:marTop w:val="0"/>
      <w:marBottom w:val="0"/>
      <w:divBdr>
        <w:top w:val="none" w:sz="0" w:space="0" w:color="auto"/>
        <w:left w:val="none" w:sz="0" w:space="0" w:color="auto"/>
        <w:bottom w:val="none" w:sz="0" w:space="0" w:color="auto"/>
        <w:right w:val="none" w:sz="0" w:space="0" w:color="auto"/>
      </w:divBdr>
      <w:divsChild>
        <w:div w:id="1735351077">
          <w:marLeft w:val="0"/>
          <w:marRight w:val="0"/>
          <w:marTop w:val="0"/>
          <w:marBottom w:val="0"/>
          <w:divBdr>
            <w:top w:val="none" w:sz="0" w:space="0" w:color="auto"/>
            <w:left w:val="none" w:sz="0" w:space="0" w:color="auto"/>
            <w:bottom w:val="none" w:sz="0" w:space="0" w:color="auto"/>
            <w:right w:val="none" w:sz="0" w:space="0" w:color="auto"/>
          </w:divBdr>
        </w:div>
        <w:div w:id="1041514638">
          <w:marLeft w:val="0"/>
          <w:marRight w:val="0"/>
          <w:marTop w:val="0"/>
          <w:marBottom w:val="0"/>
          <w:divBdr>
            <w:top w:val="none" w:sz="0" w:space="0" w:color="auto"/>
            <w:left w:val="none" w:sz="0" w:space="0" w:color="auto"/>
            <w:bottom w:val="none" w:sz="0" w:space="0" w:color="auto"/>
            <w:right w:val="none" w:sz="0" w:space="0" w:color="auto"/>
          </w:divBdr>
        </w:div>
      </w:divsChild>
    </w:div>
    <w:div w:id="654454369">
      <w:bodyDiv w:val="1"/>
      <w:marLeft w:val="0"/>
      <w:marRight w:val="0"/>
      <w:marTop w:val="0"/>
      <w:marBottom w:val="0"/>
      <w:divBdr>
        <w:top w:val="none" w:sz="0" w:space="0" w:color="auto"/>
        <w:left w:val="none" w:sz="0" w:space="0" w:color="auto"/>
        <w:bottom w:val="none" w:sz="0" w:space="0" w:color="auto"/>
        <w:right w:val="none" w:sz="0" w:space="0" w:color="auto"/>
      </w:divBdr>
    </w:div>
    <w:div w:id="760220478">
      <w:bodyDiv w:val="1"/>
      <w:marLeft w:val="0"/>
      <w:marRight w:val="0"/>
      <w:marTop w:val="0"/>
      <w:marBottom w:val="0"/>
      <w:divBdr>
        <w:top w:val="none" w:sz="0" w:space="0" w:color="auto"/>
        <w:left w:val="none" w:sz="0" w:space="0" w:color="auto"/>
        <w:bottom w:val="none" w:sz="0" w:space="0" w:color="auto"/>
        <w:right w:val="none" w:sz="0" w:space="0" w:color="auto"/>
      </w:divBdr>
    </w:div>
    <w:div w:id="868378495">
      <w:bodyDiv w:val="1"/>
      <w:marLeft w:val="0"/>
      <w:marRight w:val="0"/>
      <w:marTop w:val="0"/>
      <w:marBottom w:val="0"/>
      <w:divBdr>
        <w:top w:val="none" w:sz="0" w:space="0" w:color="auto"/>
        <w:left w:val="none" w:sz="0" w:space="0" w:color="auto"/>
        <w:bottom w:val="none" w:sz="0" w:space="0" w:color="auto"/>
        <w:right w:val="none" w:sz="0" w:space="0" w:color="auto"/>
      </w:divBdr>
    </w:div>
    <w:div w:id="873077121">
      <w:bodyDiv w:val="1"/>
      <w:marLeft w:val="0"/>
      <w:marRight w:val="0"/>
      <w:marTop w:val="0"/>
      <w:marBottom w:val="0"/>
      <w:divBdr>
        <w:top w:val="none" w:sz="0" w:space="0" w:color="auto"/>
        <w:left w:val="none" w:sz="0" w:space="0" w:color="auto"/>
        <w:bottom w:val="none" w:sz="0" w:space="0" w:color="auto"/>
        <w:right w:val="none" w:sz="0" w:space="0" w:color="auto"/>
      </w:divBdr>
    </w:div>
    <w:div w:id="916403750">
      <w:bodyDiv w:val="1"/>
      <w:marLeft w:val="0"/>
      <w:marRight w:val="0"/>
      <w:marTop w:val="0"/>
      <w:marBottom w:val="0"/>
      <w:divBdr>
        <w:top w:val="none" w:sz="0" w:space="0" w:color="auto"/>
        <w:left w:val="none" w:sz="0" w:space="0" w:color="auto"/>
        <w:bottom w:val="none" w:sz="0" w:space="0" w:color="auto"/>
        <w:right w:val="none" w:sz="0" w:space="0" w:color="auto"/>
      </w:divBdr>
    </w:div>
    <w:div w:id="951741371">
      <w:bodyDiv w:val="1"/>
      <w:marLeft w:val="0"/>
      <w:marRight w:val="0"/>
      <w:marTop w:val="0"/>
      <w:marBottom w:val="0"/>
      <w:divBdr>
        <w:top w:val="none" w:sz="0" w:space="0" w:color="auto"/>
        <w:left w:val="none" w:sz="0" w:space="0" w:color="auto"/>
        <w:bottom w:val="none" w:sz="0" w:space="0" w:color="auto"/>
        <w:right w:val="none" w:sz="0" w:space="0" w:color="auto"/>
      </w:divBdr>
    </w:div>
    <w:div w:id="1175874151">
      <w:bodyDiv w:val="1"/>
      <w:marLeft w:val="0"/>
      <w:marRight w:val="0"/>
      <w:marTop w:val="0"/>
      <w:marBottom w:val="0"/>
      <w:divBdr>
        <w:top w:val="none" w:sz="0" w:space="0" w:color="auto"/>
        <w:left w:val="none" w:sz="0" w:space="0" w:color="auto"/>
        <w:bottom w:val="none" w:sz="0" w:space="0" w:color="auto"/>
        <w:right w:val="none" w:sz="0" w:space="0" w:color="auto"/>
      </w:divBdr>
    </w:div>
    <w:div w:id="1235317895">
      <w:bodyDiv w:val="1"/>
      <w:marLeft w:val="0"/>
      <w:marRight w:val="0"/>
      <w:marTop w:val="0"/>
      <w:marBottom w:val="0"/>
      <w:divBdr>
        <w:top w:val="none" w:sz="0" w:space="0" w:color="auto"/>
        <w:left w:val="none" w:sz="0" w:space="0" w:color="auto"/>
        <w:bottom w:val="none" w:sz="0" w:space="0" w:color="auto"/>
        <w:right w:val="none" w:sz="0" w:space="0" w:color="auto"/>
      </w:divBdr>
    </w:div>
    <w:div w:id="1491217535">
      <w:bodyDiv w:val="1"/>
      <w:marLeft w:val="0"/>
      <w:marRight w:val="0"/>
      <w:marTop w:val="0"/>
      <w:marBottom w:val="0"/>
      <w:divBdr>
        <w:top w:val="none" w:sz="0" w:space="0" w:color="auto"/>
        <w:left w:val="none" w:sz="0" w:space="0" w:color="auto"/>
        <w:bottom w:val="none" w:sz="0" w:space="0" w:color="auto"/>
        <w:right w:val="none" w:sz="0" w:space="0" w:color="auto"/>
      </w:divBdr>
    </w:div>
    <w:div w:id="1556547748">
      <w:bodyDiv w:val="1"/>
      <w:marLeft w:val="0"/>
      <w:marRight w:val="0"/>
      <w:marTop w:val="0"/>
      <w:marBottom w:val="0"/>
      <w:divBdr>
        <w:top w:val="none" w:sz="0" w:space="0" w:color="auto"/>
        <w:left w:val="none" w:sz="0" w:space="0" w:color="auto"/>
        <w:bottom w:val="none" w:sz="0" w:space="0" w:color="auto"/>
        <w:right w:val="none" w:sz="0" w:space="0" w:color="auto"/>
      </w:divBdr>
    </w:div>
    <w:div w:id="1706708866">
      <w:bodyDiv w:val="1"/>
      <w:marLeft w:val="0"/>
      <w:marRight w:val="0"/>
      <w:marTop w:val="0"/>
      <w:marBottom w:val="0"/>
      <w:divBdr>
        <w:top w:val="none" w:sz="0" w:space="0" w:color="auto"/>
        <w:left w:val="none" w:sz="0" w:space="0" w:color="auto"/>
        <w:bottom w:val="none" w:sz="0" w:space="0" w:color="auto"/>
        <w:right w:val="none" w:sz="0" w:space="0" w:color="auto"/>
      </w:divBdr>
    </w:div>
    <w:div w:id="1903828689">
      <w:bodyDiv w:val="1"/>
      <w:marLeft w:val="0"/>
      <w:marRight w:val="0"/>
      <w:marTop w:val="0"/>
      <w:marBottom w:val="0"/>
      <w:divBdr>
        <w:top w:val="none" w:sz="0" w:space="0" w:color="auto"/>
        <w:left w:val="none" w:sz="0" w:space="0" w:color="auto"/>
        <w:bottom w:val="none" w:sz="0" w:space="0" w:color="auto"/>
        <w:right w:val="none" w:sz="0" w:space="0" w:color="auto"/>
      </w:divBdr>
    </w:div>
    <w:div w:id="1905867948">
      <w:bodyDiv w:val="1"/>
      <w:marLeft w:val="0"/>
      <w:marRight w:val="0"/>
      <w:marTop w:val="0"/>
      <w:marBottom w:val="0"/>
      <w:divBdr>
        <w:top w:val="none" w:sz="0" w:space="0" w:color="auto"/>
        <w:left w:val="none" w:sz="0" w:space="0" w:color="auto"/>
        <w:bottom w:val="none" w:sz="0" w:space="0" w:color="auto"/>
        <w:right w:val="none" w:sz="0" w:space="0" w:color="auto"/>
      </w:divBdr>
    </w:div>
    <w:div w:id="1951626946">
      <w:bodyDiv w:val="1"/>
      <w:marLeft w:val="0"/>
      <w:marRight w:val="0"/>
      <w:marTop w:val="0"/>
      <w:marBottom w:val="0"/>
      <w:divBdr>
        <w:top w:val="none" w:sz="0" w:space="0" w:color="auto"/>
        <w:left w:val="none" w:sz="0" w:space="0" w:color="auto"/>
        <w:bottom w:val="none" w:sz="0" w:space="0" w:color="auto"/>
        <w:right w:val="none" w:sz="0" w:space="0" w:color="auto"/>
      </w:divBdr>
    </w:div>
    <w:div w:id="2002653374">
      <w:bodyDiv w:val="1"/>
      <w:marLeft w:val="0"/>
      <w:marRight w:val="0"/>
      <w:marTop w:val="0"/>
      <w:marBottom w:val="0"/>
      <w:divBdr>
        <w:top w:val="none" w:sz="0" w:space="0" w:color="auto"/>
        <w:left w:val="none" w:sz="0" w:space="0" w:color="auto"/>
        <w:bottom w:val="none" w:sz="0" w:space="0" w:color="auto"/>
        <w:right w:val="none" w:sz="0" w:space="0" w:color="auto"/>
      </w:divBdr>
    </w:div>
    <w:div w:id="2070110635">
      <w:bodyDiv w:val="1"/>
      <w:marLeft w:val="0"/>
      <w:marRight w:val="0"/>
      <w:marTop w:val="0"/>
      <w:marBottom w:val="0"/>
      <w:divBdr>
        <w:top w:val="none" w:sz="0" w:space="0" w:color="auto"/>
        <w:left w:val="none" w:sz="0" w:space="0" w:color="auto"/>
        <w:bottom w:val="none" w:sz="0" w:space="0" w:color="auto"/>
        <w:right w:val="none" w:sz="0" w:space="0" w:color="auto"/>
      </w:divBdr>
    </w:div>
    <w:div w:id="2093702548">
      <w:bodyDiv w:val="1"/>
      <w:marLeft w:val="0"/>
      <w:marRight w:val="0"/>
      <w:marTop w:val="0"/>
      <w:marBottom w:val="0"/>
      <w:divBdr>
        <w:top w:val="none" w:sz="0" w:space="0" w:color="auto"/>
        <w:left w:val="none" w:sz="0" w:space="0" w:color="auto"/>
        <w:bottom w:val="none" w:sz="0" w:space="0" w:color="auto"/>
        <w:right w:val="none" w:sz="0" w:space="0" w:color="auto"/>
      </w:divBdr>
      <w:divsChild>
        <w:div w:id="1685596868">
          <w:marLeft w:val="0"/>
          <w:marRight w:val="0"/>
          <w:marTop w:val="0"/>
          <w:marBottom w:val="0"/>
          <w:divBdr>
            <w:top w:val="none" w:sz="0" w:space="0" w:color="auto"/>
            <w:left w:val="none" w:sz="0" w:space="0" w:color="auto"/>
            <w:bottom w:val="none" w:sz="0" w:space="0" w:color="auto"/>
            <w:right w:val="none" w:sz="0" w:space="0" w:color="auto"/>
          </w:divBdr>
        </w:div>
        <w:div w:id="713164349">
          <w:marLeft w:val="0"/>
          <w:marRight w:val="0"/>
          <w:marTop w:val="0"/>
          <w:marBottom w:val="0"/>
          <w:divBdr>
            <w:top w:val="none" w:sz="0" w:space="0" w:color="auto"/>
            <w:left w:val="none" w:sz="0" w:space="0" w:color="auto"/>
            <w:bottom w:val="none" w:sz="0" w:space="0" w:color="auto"/>
            <w:right w:val="none" w:sz="0" w:space="0" w:color="auto"/>
          </w:divBdr>
        </w:div>
        <w:div w:id="1424690158">
          <w:marLeft w:val="0"/>
          <w:marRight w:val="0"/>
          <w:marTop w:val="0"/>
          <w:marBottom w:val="0"/>
          <w:divBdr>
            <w:top w:val="none" w:sz="0" w:space="0" w:color="auto"/>
            <w:left w:val="none" w:sz="0" w:space="0" w:color="auto"/>
            <w:bottom w:val="none" w:sz="0" w:space="0" w:color="auto"/>
            <w:right w:val="none" w:sz="0" w:space="0" w:color="auto"/>
          </w:divBdr>
        </w:div>
        <w:div w:id="856818470">
          <w:marLeft w:val="0"/>
          <w:marRight w:val="0"/>
          <w:marTop w:val="0"/>
          <w:marBottom w:val="0"/>
          <w:divBdr>
            <w:top w:val="none" w:sz="0" w:space="0" w:color="auto"/>
            <w:left w:val="none" w:sz="0" w:space="0" w:color="auto"/>
            <w:bottom w:val="none" w:sz="0" w:space="0" w:color="auto"/>
            <w:right w:val="none" w:sz="0" w:space="0" w:color="auto"/>
          </w:divBdr>
        </w:div>
        <w:div w:id="1168327387">
          <w:marLeft w:val="0"/>
          <w:marRight w:val="0"/>
          <w:marTop w:val="0"/>
          <w:marBottom w:val="0"/>
          <w:divBdr>
            <w:top w:val="none" w:sz="0" w:space="0" w:color="auto"/>
            <w:left w:val="none" w:sz="0" w:space="0" w:color="auto"/>
            <w:bottom w:val="none" w:sz="0" w:space="0" w:color="auto"/>
            <w:right w:val="none" w:sz="0" w:space="0" w:color="auto"/>
          </w:divBdr>
        </w:div>
        <w:div w:id="1667706505">
          <w:marLeft w:val="0"/>
          <w:marRight w:val="0"/>
          <w:marTop w:val="0"/>
          <w:marBottom w:val="0"/>
          <w:divBdr>
            <w:top w:val="none" w:sz="0" w:space="0" w:color="auto"/>
            <w:left w:val="none" w:sz="0" w:space="0" w:color="auto"/>
            <w:bottom w:val="none" w:sz="0" w:space="0" w:color="auto"/>
            <w:right w:val="none" w:sz="0" w:space="0" w:color="auto"/>
          </w:divBdr>
        </w:div>
        <w:div w:id="1411268645">
          <w:marLeft w:val="0"/>
          <w:marRight w:val="0"/>
          <w:marTop w:val="0"/>
          <w:marBottom w:val="0"/>
          <w:divBdr>
            <w:top w:val="none" w:sz="0" w:space="0" w:color="auto"/>
            <w:left w:val="none" w:sz="0" w:space="0" w:color="auto"/>
            <w:bottom w:val="none" w:sz="0" w:space="0" w:color="auto"/>
            <w:right w:val="none" w:sz="0" w:space="0" w:color="auto"/>
          </w:divBdr>
        </w:div>
        <w:div w:id="25108403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5" Type="http://schemas.openxmlformats.org/officeDocument/2006/relationships/settings" Target="settings.xml"/><Relationship Id="rId10" Type="http://schemas.openxmlformats.org/officeDocument/2006/relationships/image" Target="media/image2.png"/><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2007-12-07T00:00:00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BF0C6492-183D-4DE6-B195-E8130DA9C8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508</TotalTime>
  <Pages>6</Pages>
  <Words>1160</Words>
  <Characters>6614</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HedgeQuant Framework</vt:lpstr>
    </vt:vector>
  </TitlesOfParts>
  <Company/>
  <LinksUpToDate>false</LinksUpToDate>
  <CharactersWithSpaces>7759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HedgeQuant Framework</dc:title>
  <dc:creator>gyantal</dc:creator>
  <cp:lastModifiedBy>gyantal</cp:lastModifiedBy>
  <cp:revision>215</cp:revision>
  <dcterms:created xsi:type="dcterms:W3CDTF">2007-05-23T17:03:00Z</dcterms:created>
  <dcterms:modified xsi:type="dcterms:W3CDTF">2008-05-09T15:32:00Z</dcterms:modified>
</cp:coreProperties>
</file>